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F96F1" w14:textId="77777777" w:rsidR="00E7476A" w:rsidRPr="008B66AE" w:rsidRDefault="00E7476A" w:rsidP="00E7476A">
      <w:pPr>
        <w:rPr>
          <w:b/>
          <w:sz w:val="24"/>
          <w:szCs w:val="24"/>
          <w:lang w:val="nl-NL"/>
        </w:rPr>
      </w:pPr>
    </w:p>
    <w:p w14:paraId="28BE880C" w14:textId="77777777" w:rsidR="00193C7C" w:rsidRPr="008B66AE" w:rsidRDefault="00193C7C" w:rsidP="00352F24">
      <w:pPr>
        <w:rPr>
          <w:lang w:val="nl-NL"/>
        </w:rPr>
      </w:pPr>
    </w:p>
    <w:p w14:paraId="30760ECD" w14:textId="77777777" w:rsidR="00193C7C" w:rsidRPr="008B66AE" w:rsidRDefault="00193C7C" w:rsidP="00352F24">
      <w:pPr>
        <w:rPr>
          <w:lang w:val="nl-NL"/>
        </w:rPr>
      </w:pPr>
    </w:p>
    <w:p w14:paraId="3C228B2A" w14:textId="77777777" w:rsidR="00A04F6C" w:rsidRPr="008B66AE" w:rsidRDefault="00142424" w:rsidP="00142424">
      <w:pPr>
        <w:tabs>
          <w:tab w:val="left" w:pos="2370"/>
        </w:tabs>
        <w:rPr>
          <w:lang w:val="nl-NL"/>
        </w:rPr>
      </w:pPr>
      <w:r w:rsidRPr="008B66AE">
        <w:rPr>
          <w:lang w:val="nl-NL"/>
        </w:rPr>
        <w:tab/>
      </w:r>
    </w:p>
    <w:p w14:paraId="1441A90C" w14:textId="77777777" w:rsidR="004845C3" w:rsidRPr="008B66AE" w:rsidRDefault="004845C3" w:rsidP="00352F24">
      <w:pPr>
        <w:rPr>
          <w:lang w:val="nl-NL"/>
        </w:rPr>
      </w:pPr>
    </w:p>
    <w:p w14:paraId="35FEDC38" w14:textId="77777777" w:rsidR="004845C3" w:rsidRPr="008B66AE" w:rsidRDefault="004845C3" w:rsidP="00352F24">
      <w:pPr>
        <w:rPr>
          <w:lang w:val="nl-NL"/>
        </w:rPr>
      </w:pPr>
    </w:p>
    <w:p w14:paraId="0D53264A" w14:textId="77777777" w:rsidR="004845C3" w:rsidRPr="008B66AE" w:rsidRDefault="004845C3" w:rsidP="00352F24">
      <w:pPr>
        <w:rPr>
          <w:lang w:val="nl-NL"/>
        </w:rPr>
      </w:pPr>
    </w:p>
    <w:p w14:paraId="49F0A579" w14:textId="77777777" w:rsidR="004845C3" w:rsidRPr="008B66AE" w:rsidRDefault="004845C3" w:rsidP="00352F24">
      <w:pPr>
        <w:rPr>
          <w:lang w:val="nl-NL"/>
        </w:rPr>
      </w:pPr>
    </w:p>
    <w:p w14:paraId="3008DC77" w14:textId="77777777" w:rsidR="004845C3" w:rsidRPr="008B66AE" w:rsidRDefault="004845C3" w:rsidP="00352F24">
      <w:pPr>
        <w:rPr>
          <w:lang w:val="nl-NL"/>
        </w:rPr>
      </w:pPr>
    </w:p>
    <w:p w14:paraId="5EFE7BF9" w14:textId="77777777" w:rsidR="004845C3" w:rsidRPr="008B66AE" w:rsidRDefault="004845C3" w:rsidP="00352F24">
      <w:pPr>
        <w:rPr>
          <w:lang w:val="nl-NL"/>
        </w:rPr>
      </w:pPr>
    </w:p>
    <w:tbl>
      <w:tblPr>
        <w:tblStyle w:val="Tabelraster"/>
        <w:tblpPr w:leftFromText="181" w:rightFromText="181" w:vertAnchor="page" w:horzAnchor="page" w:tblpX="1419" w:tblpY="5042"/>
        <w:tblOverlap w:val="never"/>
        <w:tblW w:w="0" w:type="auto"/>
        <w:tblLook w:val="04A0" w:firstRow="1" w:lastRow="0" w:firstColumn="1" w:lastColumn="0" w:noHBand="0" w:noVBand="1"/>
      </w:tblPr>
      <w:tblGrid>
        <w:gridCol w:w="9071"/>
      </w:tblGrid>
      <w:tr w:rsidR="004845C3" w:rsidRPr="000A7159" w14:paraId="2C80EF62" w14:textId="77777777" w:rsidTr="004845C3">
        <w:trPr>
          <w:cantSplit/>
          <w:trHeight w:hRule="exact" w:val="560"/>
        </w:trPr>
        <w:tc>
          <w:tcPr>
            <w:tcW w:w="9287" w:type="dxa"/>
            <w:tcBorders>
              <w:top w:val="nil"/>
              <w:left w:val="nil"/>
              <w:bottom w:val="nil"/>
              <w:right w:val="nil"/>
            </w:tcBorders>
            <w:vAlign w:val="center"/>
          </w:tcPr>
          <w:p w14:paraId="63E6E8E1" w14:textId="0D3867A3" w:rsidR="004845C3" w:rsidRPr="00162763" w:rsidRDefault="00000000" w:rsidP="00910F4D">
            <w:pPr>
              <w:rPr>
                <w:lang w:val="nl-NL"/>
              </w:rPr>
            </w:pPr>
            <w:sdt>
              <w:sdtPr>
                <w:rPr>
                  <w:b/>
                  <w:color w:val="000000" w:themeColor="text1"/>
                  <w:sz w:val="24"/>
                  <w:szCs w:val="24"/>
                  <w:lang w:val="nl-NL"/>
                </w:rPr>
                <w:alias w:val="Titel"/>
                <w:tag w:val=""/>
                <w:id w:val="715325571"/>
                <w:lock w:val="sdtLocked"/>
                <w:placeholder>
                  <w:docPart w:val="9F2430E40B93412A9F747F953CE9C5D6"/>
                </w:placeholder>
                <w:dataBinding w:prefixMappings="xmlns:ns0='http://purl.org/dc/elements/1.1/' xmlns:ns1='http://schemas.openxmlformats.org/package/2006/metadata/core-properties' " w:xpath="/ns1:coreProperties[1]/ns0:title[1]" w:storeItemID="{6C3C8BC8-F283-45AE-878A-BAB7291924A1}"/>
                <w:text/>
              </w:sdtPr>
              <w:sdtContent>
                <w:r w:rsidR="008A4E45" w:rsidRPr="00162763">
                  <w:rPr>
                    <w:b/>
                    <w:color w:val="000000" w:themeColor="text1"/>
                    <w:sz w:val="24"/>
                    <w:szCs w:val="24"/>
                    <w:lang w:val="nl-NL"/>
                  </w:rPr>
                  <w:t>ABTN Stichting ING CDC Pensioenfonds</w:t>
                </w:r>
              </w:sdtContent>
            </w:sdt>
            <w:r w:rsidR="004845C3" w:rsidRPr="00162763">
              <w:rPr>
                <w:color w:val="000000" w:themeColor="text1"/>
                <w:sz w:val="24"/>
                <w:szCs w:val="24"/>
                <w:lang w:val="nl-NL"/>
              </w:rPr>
              <w:t xml:space="preserve"> </w:t>
            </w:r>
            <w:r w:rsidR="00162763">
              <w:rPr>
                <w:color w:val="000000" w:themeColor="text1"/>
                <w:sz w:val="24"/>
                <w:szCs w:val="24"/>
                <w:lang w:val="nl-NL"/>
              </w:rPr>
              <w:t xml:space="preserve"> </w:t>
            </w:r>
            <w:r w:rsidR="004845C3" w:rsidRPr="00162763">
              <w:rPr>
                <w:color w:val="000000" w:themeColor="text1"/>
                <w:sz w:val="24"/>
                <w:szCs w:val="24"/>
                <w:lang w:val="nl-NL"/>
              </w:rPr>
              <w:t xml:space="preserve">| </w:t>
            </w:r>
            <w:r w:rsidR="00162763">
              <w:rPr>
                <w:color w:val="000000" w:themeColor="text1"/>
                <w:sz w:val="24"/>
                <w:szCs w:val="24"/>
                <w:lang w:val="nl-NL"/>
              </w:rPr>
              <w:t xml:space="preserve"> </w:t>
            </w:r>
            <w:r w:rsidR="008A4E45" w:rsidRPr="00162763">
              <w:rPr>
                <w:color w:val="000000" w:themeColor="text1"/>
                <w:sz w:val="24"/>
                <w:szCs w:val="24"/>
                <w:lang w:val="nl-NL"/>
              </w:rPr>
              <w:t xml:space="preserve">geldend vanaf </w:t>
            </w:r>
            <w:sdt>
              <w:sdtPr>
                <w:rPr>
                  <w:color w:val="000000" w:themeColor="text1"/>
                  <w:sz w:val="24"/>
                  <w:szCs w:val="24"/>
                  <w:lang w:val="nl-NL"/>
                </w:rPr>
                <w:alias w:val="Publicatiedatum"/>
                <w:tag w:val=""/>
                <w:id w:val="-530187730"/>
                <w:lock w:val="sdtLocked"/>
                <w:placeholder>
                  <w:docPart w:val="01E07A3893F44F8E807A08932CE92634"/>
                </w:placeholder>
                <w:dataBinding w:prefixMappings="xmlns:ns0='http://schemas.microsoft.com/office/2006/coverPageProps' " w:xpath="/ns0:CoverPageProperties[1]/ns0:PublishDate[1]" w:storeItemID="{55AF091B-3C7A-41E3-B477-F2FDAA23CFDA}"/>
                <w:date w:fullDate="2026-05-20T00:00:00Z">
                  <w:dateFormat w:val="d MMMM yyyy"/>
                  <w:lid w:val="nl-NL"/>
                  <w:storeMappedDataAs w:val="dateTime"/>
                  <w:calendar w:val="gregorian"/>
                </w:date>
              </w:sdtPr>
              <w:sdtContent>
                <w:r w:rsidR="006F50ED">
                  <w:rPr>
                    <w:color w:val="000000" w:themeColor="text1"/>
                    <w:sz w:val="24"/>
                    <w:szCs w:val="24"/>
                    <w:lang w:val="nl-NL"/>
                  </w:rPr>
                  <w:t>20 mei 2026</w:t>
                </w:r>
              </w:sdtContent>
            </w:sdt>
          </w:p>
        </w:tc>
      </w:tr>
    </w:tbl>
    <w:p w14:paraId="696C4ECD" w14:textId="77777777" w:rsidR="00193C7C" w:rsidRPr="008B66AE" w:rsidRDefault="00E53068" w:rsidP="00352F24">
      <w:pPr>
        <w:rPr>
          <w:lang w:val="nl-NL"/>
        </w:rPr>
      </w:pPr>
      <w:r w:rsidRPr="008B66AE">
        <w:rPr>
          <w:noProof/>
          <w:lang w:val="en-GB" w:eastAsia="en-GB"/>
        </w:rPr>
        <mc:AlternateContent>
          <mc:Choice Requires="wps">
            <w:drawing>
              <wp:anchor distT="0" distB="0" distL="114300" distR="114300" simplePos="0" relativeHeight="251658240" behindDoc="0" locked="1" layoutInCell="0" allowOverlap="1" wp14:anchorId="2B4DF208" wp14:editId="684AF672">
                <wp:simplePos x="0" y="0"/>
                <wp:positionH relativeFrom="page">
                  <wp:posOffset>349250</wp:posOffset>
                </wp:positionH>
                <wp:positionV relativeFrom="page">
                  <wp:posOffset>3200400</wp:posOffset>
                </wp:positionV>
                <wp:extent cx="3898800" cy="0"/>
                <wp:effectExtent l="0" t="0" r="26035" b="19050"/>
                <wp:wrapNone/>
                <wp:docPr id="15" name="Rechte verbindingslijn 15"/>
                <wp:cNvGraphicFramePr/>
                <a:graphic xmlns:a="http://schemas.openxmlformats.org/drawingml/2006/main">
                  <a:graphicData uri="http://schemas.microsoft.com/office/word/2010/wordprocessingShape">
                    <wps:wsp>
                      <wps:cNvCnPr/>
                      <wps:spPr>
                        <a:xfrm>
                          <a:off x="0" y="0"/>
                          <a:ext cx="389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D8769B" id="Rechte verbindingslijn 15" o:spid="_x0000_s1026"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7.5pt,252pt" to="334.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" o:allowincell="f" strokecolor="#00a5c7 [3044]">
                <w10:wrap anchorx="page" anchory="page"/>
                <w10:anchorlock/>
              </v:line>
            </w:pict>
          </mc:Fallback>
        </mc:AlternateContent>
      </w:r>
    </w:p>
    <w:p w14:paraId="7B180442" w14:textId="77777777" w:rsidR="00E40C4C" w:rsidRPr="008B66AE" w:rsidRDefault="00E40C4C" w:rsidP="00A9183E">
      <w:pPr>
        <w:spacing w:after="200" w:line="276" w:lineRule="auto"/>
        <w:rPr>
          <w:lang w:val="nl-NL"/>
        </w:rPr>
      </w:pPr>
    </w:p>
    <w:p w14:paraId="6368467E" w14:textId="47EC7DFB" w:rsidR="00E40C4C" w:rsidRPr="008A4E45" w:rsidRDefault="008A4E45" w:rsidP="00A9183E">
      <w:pPr>
        <w:spacing w:after="200" w:line="276" w:lineRule="auto"/>
        <w:rPr>
          <w:b/>
          <w:lang w:val="nl-NL"/>
        </w:rPr>
      </w:pPr>
      <w:r w:rsidRPr="008A4E45">
        <w:rPr>
          <w:b/>
          <w:lang w:val="nl-NL"/>
        </w:rPr>
        <w:t xml:space="preserve">Versie vastgesteld op </w:t>
      </w:r>
      <w:r w:rsidR="007F2B9F">
        <w:rPr>
          <w:b/>
          <w:lang w:val="nl-NL"/>
        </w:rPr>
        <w:t>20</w:t>
      </w:r>
      <w:r w:rsidR="0042722B">
        <w:rPr>
          <w:b/>
          <w:lang w:val="nl-NL"/>
        </w:rPr>
        <w:t xml:space="preserve"> mei 2026</w:t>
      </w:r>
    </w:p>
    <w:p w14:paraId="32654CFB" w14:textId="77777777" w:rsidR="00E40C4C" w:rsidRPr="008B66AE" w:rsidRDefault="00E40C4C" w:rsidP="00A9183E">
      <w:pPr>
        <w:spacing w:after="200" w:line="276" w:lineRule="auto"/>
        <w:rPr>
          <w:lang w:val="nl-NL"/>
        </w:rPr>
      </w:pPr>
    </w:p>
    <w:p w14:paraId="734700AA" w14:textId="77777777" w:rsidR="00E40C4C" w:rsidRPr="008B66AE" w:rsidRDefault="00E40C4C" w:rsidP="00A9183E">
      <w:pPr>
        <w:spacing w:after="200" w:line="276" w:lineRule="auto"/>
        <w:rPr>
          <w:lang w:val="nl-NL"/>
        </w:rPr>
      </w:pPr>
    </w:p>
    <w:p w14:paraId="05F15E8A" w14:textId="77777777" w:rsidR="00E40C4C" w:rsidRPr="008B66AE" w:rsidRDefault="00E40C4C" w:rsidP="00A9183E">
      <w:pPr>
        <w:spacing w:after="200" w:line="276" w:lineRule="auto"/>
        <w:rPr>
          <w:lang w:val="nl-NL"/>
        </w:rPr>
      </w:pPr>
    </w:p>
    <w:p w14:paraId="17C49373" w14:textId="77777777" w:rsidR="00A81C77" w:rsidRPr="008B66AE" w:rsidRDefault="00A81C77" w:rsidP="00E40C4C">
      <w:pPr>
        <w:rPr>
          <w:lang w:val="nl-NL"/>
        </w:rPr>
      </w:pPr>
      <w:r w:rsidRPr="008B66AE">
        <w:rPr>
          <w:lang w:val="nl-NL"/>
        </w:rPr>
        <w:br w:type="page"/>
      </w:r>
    </w:p>
    <w:p w14:paraId="6B5968E8" w14:textId="77777777" w:rsidR="00142424" w:rsidRPr="008B66AE" w:rsidRDefault="00142424" w:rsidP="00142424">
      <w:pPr>
        <w:pStyle w:val="Kop1"/>
        <w:numPr>
          <w:ilvl w:val="0"/>
          <w:numId w:val="0"/>
        </w:numPr>
        <w:ind w:left="432" w:hanging="432"/>
        <w:rPr>
          <w:rFonts w:hint="eastAsia"/>
          <w:lang w:val="nl-NL"/>
        </w:rPr>
      </w:pPr>
      <w:bookmarkStart w:id="0" w:name="_Toc231804733"/>
      <w:r w:rsidRPr="008B66AE">
        <w:rPr>
          <w:lang w:val="nl-NL"/>
        </w:rPr>
        <w:lastRenderedPageBreak/>
        <w:t>Inhoudsopgave</w:t>
      </w:r>
      <w:bookmarkEnd w:id="0"/>
    </w:p>
    <w:p w14:paraId="601A8D15" w14:textId="77777777" w:rsidR="00142424" w:rsidRPr="008B66AE" w:rsidRDefault="00142424" w:rsidP="00932456">
      <w:pPr>
        <w:pStyle w:val="Inhopg1"/>
      </w:pPr>
    </w:p>
    <w:sdt>
      <w:sdtPr>
        <w:rPr>
          <w:noProof w:val="0"/>
          <w:lang w:val="en-US"/>
        </w:rPr>
        <w:id w:val="-1278783452"/>
        <w:docPartObj>
          <w:docPartGallery w:val="Table of Contents"/>
          <w:docPartUnique/>
        </w:docPartObj>
      </w:sdtPr>
      <w:sdtEndPr>
        <w:rPr>
          <w:b/>
          <w:bCs/>
        </w:rPr>
      </w:sdtEndPr>
      <w:sdtContent>
        <w:p w14:paraId="56ED03AC" w14:textId="5B77D3E1" w:rsidR="003753EB" w:rsidRDefault="00142424">
          <w:pPr>
            <w:pStyle w:val="Inhopg1"/>
            <w:rPr>
              <w:rFonts w:eastAsiaTheme="minorEastAsia"/>
              <w:kern w:val="2"/>
              <w:sz w:val="24"/>
              <w:szCs w:val="24"/>
              <w:lang w:eastAsia="nl-NL"/>
              <w14:ligatures w14:val="standardContextual"/>
            </w:rPr>
          </w:pPr>
          <w:r w:rsidRPr="008B66AE">
            <w:fldChar w:fldCharType="begin"/>
          </w:r>
          <w:r w:rsidRPr="008B66AE">
            <w:instrText xml:space="preserve"> TOC \o "1-3" \h \z \u </w:instrText>
          </w:r>
          <w:r w:rsidRPr="008B66AE">
            <w:fldChar w:fldCharType="separate"/>
          </w:r>
          <w:hyperlink w:anchor="_Toc231804733" w:history="1">
            <w:r w:rsidR="003753EB" w:rsidRPr="006E4C01">
              <w:rPr>
                <w:rStyle w:val="Hyperlink"/>
              </w:rPr>
              <w:t>Inhoudsopgave</w:t>
            </w:r>
            <w:r w:rsidR="003753EB">
              <w:rPr>
                <w:webHidden/>
              </w:rPr>
              <w:tab/>
            </w:r>
            <w:r w:rsidR="003753EB">
              <w:rPr>
                <w:webHidden/>
              </w:rPr>
              <w:fldChar w:fldCharType="begin"/>
            </w:r>
            <w:r w:rsidR="003753EB">
              <w:rPr>
                <w:webHidden/>
              </w:rPr>
              <w:instrText xml:space="preserve"> PAGEREF _Toc231804733 \h </w:instrText>
            </w:r>
            <w:r w:rsidR="003753EB">
              <w:rPr>
                <w:webHidden/>
              </w:rPr>
            </w:r>
            <w:r w:rsidR="003753EB">
              <w:rPr>
                <w:webHidden/>
              </w:rPr>
              <w:fldChar w:fldCharType="separate"/>
            </w:r>
            <w:r w:rsidR="003753EB">
              <w:rPr>
                <w:webHidden/>
              </w:rPr>
              <w:t>2</w:t>
            </w:r>
            <w:r w:rsidR="003753EB">
              <w:rPr>
                <w:webHidden/>
              </w:rPr>
              <w:fldChar w:fldCharType="end"/>
            </w:r>
          </w:hyperlink>
        </w:p>
        <w:p w14:paraId="5DB2D1C6" w14:textId="1A5DECB5" w:rsidR="003753EB" w:rsidRDefault="003753EB">
          <w:pPr>
            <w:pStyle w:val="Inhopg1"/>
            <w:rPr>
              <w:rFonts w:eastAsiaTheme="minorEastAsia"/>
              <w:kern w:val="2"/>
              <w:sz w:val="24"/>
              <w:szCs w:val="24"/>
              <w:lang w:eastAsia="nl-NL"/>
              <w14:ligatures w14:val="standardContextual"/>
            </w:rPr>
          </w:pPr>
          <w:hyperlink w:anchor="_Toc231804734" w:history="1">
            <w:r w:rsidRPr="006E4C01">
              <w:rPr>
                <w:rStyle w:val="Hyperlink"/>
              </w:rPr>
              <w:t>1</w:t>
            </w:r>
            <w:r>
              <w:rPr>
                <w:rFonts w:eastAsiaTheme="minorEastAsia"/>
                <w:kern w:val="2"/>
                <w:sz w:val="24"/>
                <w:szCs w:val="24"/>
                <w:lang w:eastAsia="nl-NL"/>
                <w14:ligatures w14:val="standardContextual"/>
              </w:rPr>
              <w:tab/>
            </w:r>
            <w:r w:rsidRPr="006E4C01">
              <w:rPr>
                <w:rStyle w:val="Hyperlink"/>
              </w:rPr>
              <w:t>Inleiding</w:t>
            </w:r>
            <w:r>
              <w:rPr>
                <w:webHidden/>
              </w:rPr>
              <w:tab/>
            </w:r>
            <w:r>
              <w:rPr>
                <w:webHidden/>
              </w:rPr>
              <w:fldChar w:fldCharType="begin"/>
            </w:r>
            <w:r>
              <w:rPr>
                <w:webHidden/>
              </w:rPr>
              <w:instrText xml:space="preserve"> PAGEREF _Toc231804734 \h </w:instrText>
            </w:r>
            <w:r>
              <w:rPr>
                <w:webHidden/>
              </w:rPr>
            </w:r>
            <w:r>
              <w:rPr>
                <w:webHidden/>
              </w:rPr>
              <w:fldChar w:fldCharType="separate"/>
            </w:r>
            <w:r>
              <w:rPr>
                <w:webHidden/>
              </w:rPr>
              <w:t>4</w:t>
            </w:r>
            <w:r>
              <w:rPr>
                <w:webHidden/>
              </w:rPr>
              <w:fldChar w:fldCharType="end"/>
            </w:r>
          </w:hyperlink>
        </w:p>
        <w:p w14:paraId="30266F2C" w14:textId="0143F753" w:rsidR="003753EB" w:rsidRDefault="003753EB">
          <w:pPr>
            <w:pStyle w:val="Inhopg1"/>
            <w:rPr>
              <w:rFonts w:eastAsiaTheme="minorEastAsia"/>
              <w:kern w:val="2"/>
              <w:sz w:val="24"/>
              <w:szCs w:val="24"/>
              <w:lang w:eastAsia="nl-NL"/>
              <w14:ligatures w14:val="standardContextual"/>
            </w:rPr>
          </w:pPr>
          <w:hyperlink w:anchor="_Toc231804735" w:history="1">
            <w:r w:rsidRPr="006E4C01">
              <w:rPr>
                <w:rStyle w:val="Hyperlink"/>
              </w:rPr>
              <w:t>2</w:t>
            </w:r>
            <w:r>
              <w:rPr>
                <w:rFonts w:eastAsiaTheme="minorEastAsia"/>
                <w:kern w:val="2"/>
                <w:sz w:val="24"/>
                <w:szCs w:val="24"/>
                <w:lang w:eastAsia="nl-NL"/>
                <w14:ligatures w14:val="standardContextual"/>
              </w:rPr>
              <w:tab/>
            </w:r>
            <w:r w:rsidRPr="006E4C01">
              <w:rPr>
                <w:rStyle w:val="Hyperlink"/>
              </w:rPr>
              <w:t>Missie,visie en strategie</w:t>
            </w:r>
            <w:r>
              <w:rPr>
                <w:webHidden/>
              </w:rPr>
              <w:tab/>
            </w:r>
            <w:r>
              <w:rPr>
                <w:webHidden/>
              </w:rPr>
              <w:fldChar w:fldCharType="begin"/>
            </w:r>
            <w:r>
              <w:rPr>
                <w:webHidden/>
              </w:rPr>
              <w:instrText xml:space="preserve"> PAGEREF _Toc231804735 \h </w:instrText>
            </w:r>
            <w:r>
              <w:rPr>
                <w:webHidden/>
              </w:rPr>
            </w:r>
            <w:r>
              <w:rPr>
                <w:webHidden/>
              </w:rPr>
              <w:fldChar w:fldCharType="separate"/>
            </w:r>
            <w:r>
              <w:rPr>
                <w:webHidden/>
              </w:rPr>
              <w:t>5</w:t>
            </w:r>
            <w:r>
              <w:rPr>
                <w:webHidden/>
              </w:rPr>
              <w:fldChar w:fldCharType="end"/>
            </w:r>
          </w:hyperlink>
        </w:p>
        <w:p w14:paraId="4D83C772" w14:textId="2344B742" w:rsidR="003753EB" w:rsidRDefault="003753EB">
          <w:pPr>
            <w:pStyle w:val="Inhopg2"/>
            <w:tabs>
              <w:tab w:val="left" w:pos="720"/>
              <w:tab w:val="right" w:leader="dot" w:pos="9061"/>
            </w:tabs>
            <w:rPr>
              <w:rFonts w:eastAsiaTheme="minorEastAsia"/>
              <w:noProof/>
              <w:kern w:val="2"/>
              <w:sz w:val="24"/>
              <w:szCs w:val="24"/>
              <w:lang w:val="nl-NL" w:eastAsia="nl-NL"/>
              <w14:ligatures w14:val="standardContextual"/>
            </w:rPr>
          </w:pPr>
          <w:hyperlink w:anchor="_Toc231804736" w:history="1">
            <w:r w:rsidRPr="006E4C01">
              <w:rPr>
                <w:rStyle w:val="Hyperlink"/>
                <w:noProof/>
                <w:lang w:val="nl-NL"/>
              </w:rPr>
              <w:t>2.1</w:t>
            </w:r>
            <w:r>
              <w:rPr>
                <w:rFonts w:eastAsiaTheme="minorEastAsia"/>
                <w:noProof/>
                <w:kern w:val="2"/>
                <w:sz w:val="24"/>
                <w:szCs w:val="24"/>
                <w:lang w:val="nl-NL" w:eastAsia="nl-NL"/>
                <w14:ligatures w14:val="standardContextual"/>
              </w:rPr>
              <w:tab/>
            </w:r>
            <w:r w:rsidRPr="006E4C01">
              <w:rPr>
                <w:rStyle w:val="Hyperlink"/>
                <w:noProof/>
                <w:lang w:val="nl-NL"/>
              </w:rPr>
              <w:t>Doelstelling, missie,visie en strategie</w:t>
            </w:r>
            <w:r>
              <w:rPr>
                <w:noProof/>
                <w:webHidden/>
              </w:rPr>
              <w:tab/>
            </w:r>
            <w:r>
              <w:rPr>
                <w:noProof/>
                <w:webHidden/>
              </w:rPr>
              <w:fldChar w:fldCharType="begin"/>
            </w:r>
            <w:r>
              <w:rPr>
                <w:noProof/>
                <w:webHidden/>
              </w:rPr>
              <w:instrText xml:space="preserve"> PAGEREF _Toc231804736 \h </w:instrText>
            </w:r>
            <w:r>
              <w:rPr>
                <w:noProof/>
                <w:webHidden/>
              </w:rPr>
            </w:r>
            <w:r>
              <w:rPr>
                <w:noProof/>
                <w:webHidden/>
              </w:rPr>
              <w:fldChar w:fldCharType="separate"/>
            </w:r>
            <w:r>
              <w:rPr>
                <w:noProof/>
                <w:webHidden/>
              </w:rPr>
              <w:t>5</w:t>
            </w:r>
            <w:r>
              <w:rPr>
                <w:noProof/>
                <w:webHidden/>
              </w:rPr>
              <w:fldChar w:fldCharType="end"/>
            </w:r>
          </w:hyperlink>
        </w:p>
        <w:p w14:paraId="53873FCC" w14:textId="44E0CA50" w:rsidR="003753EB" w:rsidRDefault="003753EB">
          <w:pPr>
            <w:pStyle w:val="Inhopg2"/>
            <w:tabs>
              <w:tab w:val="left" w:pos="720"/>
              <w:tab w:val="right" w:leader="dot" w:pos="9061"/>
            </w:tabs>
            <w:rPr>
              <w:rFonts w:eastAsiaTheme="minorEastAsia"/>
              <w:noProof/>
              <w:kern w:val="2"/>
              <w:sz w:val="24"/>
              <w:szCs w:val="24"/>
              <w:lang w:val="nl-NL" w:eastAsia="nl-NL"/>
              <w14:ligatures w14:val="standardContextual"/>
            </w:rPr>
          </w:pPr>
          <w:hyperlink w:anchor="_Toc231804737" w:history="1">
            <w:r w:rsidRPr="006E4C01">
              <w:rPr>
                <w:rStyle w:val="Hyperlink"/>
                <w:noProof/>
                <w:lang w:val="nl-NL"/>
              </w:rPr>
              <w:t>2.2</w:t>
            </w:r>
            <w:r>
              <w:rPr>
                <w:rFonts w:eastAsiaTheme="minorEastAsia"/>
                <w:noProof/>
                <w:kern w:val="2"/>
                <w:sz w:val="24"/>
                <w:szCs w:val="24"/>
                <w:lang w:val="nl-NL" w:eastAsia="nl-NL"/>
                <w14:ligatures w14:val="standardContextual"/>
              </w:rPr>
              <w:tab/>
            </w:r>
            <w:r w:rsidRPr="006E4C01">
              <w:rPr>
                <w:rStyle w:val="Hyperlink"/>
                <w:noProof/>
                <w:lang w:val="nl-NL"/>
              </w:rPr>
              <w:t>Uitgangspunten van Stichting ING CDC Pensioenfonds</w:t>
            </w:r>
            <w:r>
              <w:rPr>
                <w:noProof/>
                <w:webHidden/>
              </w:rPr>
              <w:tab/>
            </w:r>
            <w:r>
              <w:rPr>
                <w:noProof/>
                <w:webHidden/>
              </w:rPr>
              <w:fldChar w:fldCharType="begin"/>
            </w:r>
            <w:r>
              <w:rPr>
                <w:noProof/>
                <w:webHidden/>
              </w:rPr>
              <w:instrText xml:space="preserve"> PAGEREF _Toc231804737 \h </w:instrText>
            </w:r>
            <w:r>
              <w:rPr>
                <w:noProof/>
                <w:webHidden/>
              </w:rPr>
            </w:r>
            <w:r>
              <w:rPr>
                <w:noProof/>
                <w:webHidden/>
              </w:rPr>
              <w:fldChar w:fldCharType="separate"/>
            </w:r>
            <w:r>
              <w:rPr>
                <w:noProof/>
                <w:webHidden/>
              </w:rPr>
              <w:t>6</w:t>
            </w:r>
            <w:r>
              <w:rPr>
                <w:noProof/>
                <w:webHidden/>
              </w:rPr>
              <w:fldChar w:fldCharType="end"/>
            </w:r>
          </w:hyperlink>
        </w:p>
        <w:p w14:paraId="06A757B8" w14:textId="629B377C" w:rsidR="003753EB" w:rsidRDefault="003753EB">
          <w:pPr>
            <w:pStyle w:val="Inhopg2"/>
            <w:tabs>
              <w:tab w:val="left" w:pos="720"/>
              <w:tab w:val="right" w:leader="dot" w:pos="9061"/>
            </w:tabs>
            <w:rPr>
              <w:rFonts w:eastAsiaTheme="minorEastAsia"/>
              <w:noProof/>
              <w:kern w:val="2"/>
              <w:sz w:val="24"/>
              <w:szCs w:val="24"/>
              <w:lang w:val="nl-NL" w:eastAsia="nl-NL"/>
              <w14:ligatures w14:val="standardContextual"/>
            </w:rPr>
          </w:pPr>
          <w:hyperlink w:anchor="_Toc231804738" w:history="1">
            <w:r w:rsidRPr="006E4C01">
              <w:rPr>
                <w:rStyle w:val="Hyperlink"/>
                <w:noProof/>
                <w:lang w:val="nl-NL"/>
              </w:rPr>
              <w:t>2.3</w:t>
            </w:r>
            <w:r>
              <w:rPr>
                <w:rFonts w:eastAsiaTheme="minorEastAsia"/>
                <w:noProof/>
                <w:kern w:val="2"/>
                <w:sz w:val="24"/>
                <w:szCs w:val="24"/>
                <w:lang w:val="nl-NL" w:eastAsia="nl-NL"/>
                <w14:ligatures w14:val="standardContextual"/>
              </w:rPr>
              <w:tab/>
            </w:r>
            <w:r w:rsidRPr="006E4C01">
              <w:rPr>
                <w:rStyle w:val="Hyperlink"/>
                <w:noProof/>
                <w:lang w:val="nl-NL"/>
              </w:rPr>
              <w:t>Beleggingsbeleid en risicohouding</w:t>
            </w:r>
            <w:r>
              <w:rPr>
                <w:noProof/>
                <w:webHidden/>
              </w:rPr>
              <w:tab/>
            </w:r>
            <w:r>
              <w:rPr>
                <w:noProof/>
                <w:webHidden/>
              </w:rPr>
              <w:fldChar w:fldCharType="begin"/>
            </w:r>
            <w:r>
              <w:rPr>
                <w:noProof/>
                <w:webHidden/>
              </w:rPr>
              <w:instrText xml:space="preserve"> PAGEREF _Toc231804738 \h </w:instrText>
            </w:r>
            <w:r>
              <w:rPr>
                <w:noProof/>
                <w:webHidden/>
              </w:rPr>
            </w:r>
            <w:r>
              <w:rPr>
                <w:noProof/>
                <w:webHidden/>
              </w:rPr>
              <w:fldChar w:fldCharType="separate"/>
            </w:r>
            <w:r>
              <w:rPr>
                <w:noProof/>
                <w:webHidden/>
              </w:rPr>
              <w:t>7</w:t>
            </w:r>
            <w:r>
              <w:rPr>
                <w:noProof/>
                <w:webHidden/>
              </w:rPr>
              <w:fldChar w:fldCharType="end"/>
            </w:r>
          </w:hyperlink>
        </w:p>
        <w:p w14:paraId="5CDCE2D1" w14:textId="3140C345" w:rsidR="003753EB" w:rsidRDefault="003753EB">
          <w:pPr>
            <w:pStyle w:val="Inhopg2"/>
            <w:tabs>
              <w:tab w:val="left" w:pos="720"/>
              <w:tab w:val="right" w:leader="dot" w:pos="9061"/>
            </w:tabs>
            <w:rPr>
              <w:rFonts w:eastAsiaTheme="minorEastAsia"/>
              <w:noProof/>
              <w:kern w:val="2"/>
              <w:sz w:val="24"/>
              <w:szCs w:val="24"/>
              <w:lang w:val="nl-NL" w:eastAsia="nl-NL"/>
              <w14:ligatures w14:val="standardContextual"/>
            </w:rPr>
          </w:pPr>
          <w:hyperlink w:anchor="_Toc231804739" w:history="1">
            <w:r w:rsidRPr="006E4C01">
              <w:rPr>
                <w:rStyle w:val="Hyperlink"/>
                <w:noProof/>
                <w:lang w:val="nl-NL"/>
              </w:rPr>
              <w:t>2.4</w:t>
            </w:r>
            <w:r>
              <w:rPr>
                <w:rFonts w:eastAsiaTheme="minorEastAsia"/>
                <w:noProof/>
                <w:kern w:val="2"/>
                <w:sz w:val="24"/>
                <w:szCs w:val="24"/>
                <w:lang w:val="nl-NL" w:eastAsia="nl-NL"/>
                <w14:ligatures w14:val="standardContextual"/>
              </w:rPr>
              <w:tab/>
            </w:r>
            <w:r w:rsidRPr="006E4C01">
              <w:rPr>
                <w:rStyle w:val="Hyperlink"/>
                <w:noProof/>
                <w:lang w:val="nl-NL"/>
              </w:rPr>
              <w:t>Pensioenuitvoering en communicatie</w:t>
            </w:r>
            <w:r>
              <w:rPr>
                <w:noProof/>
                <w:webHidden/>
              </w:rPr>
              <w:tab/>
            </w:r>
            <w:r>
              <w:rPr>
                <w:noProof/>
                <w:webHidden/>
              </w:rPr>
              <w:fldChar w:fldCharType="begin"/>
            </w:r>
            <w:r>
              <w:rPr>
                <w:noProof/>
                <w:webHidden/>
              </w:rPr>
              <w:instrText xml:space="preserve"> PAGEREF _Toc231804739 \h </w:instrText>
            </w:r>
            <w:r>
              <w:rPr>
                <w:noProof/>
                <w:webHidden/>
              </w:rPr>
            </w:r>
            <w:r>
              <w:rPr>
                <w:noProof/>
                <w:webHidden/>
              </w:rPr>
              <w:fldChar w:fldCharType="separate"/>
            </w:r>
            <w:r>
              <w:rPr>
                <w:noProof/>
                <w:webHidden/>
              </w:rPr>
              <w:t>8</w:t>
            </w:r>
            <w:r>
              <w:rPr>
                <w:noProof/>
                <w:webHidden/>
              </w:rPr>
              <w:fldChar w:fldCharType="end"/>
            </w:r>
          </w:hyperlink>
        </w:p>
        <w:p w14:paraId="20F655E0" w14:textId="5A2ABC5E" w:rsidR="003753EB" w:rsidRDefault="003753EB">
          <w:pPr>
            <w:pStyle w:val="Inhopg2"/>
            <w:tabs>
              <w:tab w:val="left" w:pos="720"/>
              <w:tab w:val="right" w:leader="dot" w:pos="9061"/>
            </w:tabs>
            <w:rPr>
              <w:rFonts w:eastAsiaTheme="minorEastAsia"/>
              <w:noProof/>
              <w:kern w:val="2"/>
              <w:sz w:val="24"/>
              <w:szCs w:val="24"/>
              <w:lang w:val="nl-NL" w:eastAsia="nl-NL"/>
              <w14:ligatures w14:val="standardContextual"/>
            </w:rPr>
          </w:pPr>
          <w:hyperlink w:anchor="_Toc231804740" w:history="1">
            <w:r w:rsidRPr="006E4C01">
              <w:rPr>
                <w:rStyle w:val="Hyperlink"/>
                <w:noProof/>
                <w:lang w:val="nl-NL"/>
              </w:rPr>
              <w:t>2.5</w:t>
            </w:r>
            <w:r>
              <w:rPr>
                <w:rFonts w:eastAsiaTheme="minorEastAsia"/>
                <w:noProof/>
                <w:kern w:val="2"/>
                <w:sz w:val="24"/>
                <w:szCs w:val="24"/>
                <w:lang w:val="nl-NL" w:eastAsia="nl-NL"/>
                <w14:ligatures w14:val="standardContextual"/>
              </w:rPr>
              <w:tab/>
            </w:r>
            <w:r w:rsidRPr="006E4C01">
              <w:rPr>
                <w:rStyle w:val="Hyperlink"/>
                <w:noProof/>
                <w:lang w:val="nl-NL"/>
              </w:rPr>
              <w:t>Uitbesteding</w:t>
            </w:r>
            <w:r>
              <w:rPr>
                <w:noProof/>
                <w:webHidden/>
              </w:rPr>
              <w:tab/>
            </w:r>
            <w:r>
              <w:rPr>
                <w:noProof/>
                <w:webHidden/>
              </w:rPr>
              <w:fldChar w:fldCharType="begin"/>
            </w:r>
            <w:r>
              <w:rPr>
                <w:noProof/>
                <w:webHidden/>
              </w:rPr>
              <w:instrText xml:space="preserve"> PAGEREF _Toc231804740 \h </w:instrText>
            </w:r>
            <w:r>
              <w:rPr>
                <w:noProof/>
                <w:webHidden/>
              </w:rPr>
            </w:r>
            <w:r>
              <w:rPr>
                <w:noProof/>
                <w:webHidden/>
              </w:rPr>
              <w:fldChar w:fldCharType="separate"/>
            </w:r>
            <w:r>
              <w:rPr>
                <w:noProof/>
                <w:webHidden/>
              </w:rPr>
              <w:t>9</w:t>
            </w:r>
            <w:r>
              <w:rPr>
                <w:noProof/>
                <w:webHidden/>
              </w:rPr>
              <w:fldChar w:fldCharType="end"/>
            </w:r>
          </w:hyperlink>
        </w:p>
        <w:p w14:paraId="25494612" w14:textId="14303826" w:rsidR="003753EB" w:rsidRDefault="003753EB">
          <w:pPr>
            <w:pStyle w:val="Inhopg2"/>
            <w:tabs>
              <w:tab w:val="left" w:pos="720"/>
              <w:tab w:val="right" w:leader="dot" w:pos="9061"/>
            </w:tabs>
            <w:rPr>
              <w:rFonts w:eastAsiaTheme="minorEastAsia"/>
              <w:noProof/>
              <w:kern w:val="2"/>
              <w:sz w:val="24"/>
              <w:szCs w:val="24"/>
              <w:lang w:val="nl-NL" w:eastAsia="nl-NL"/>
              <w14:ligatures w14:val="standardContextual"/>
            </w:rPr>
          </w:pPr>
          <w:hyperlink w:anchor="_Toc231804741" w:history="1">
            <w:r w:rsidRPr="006E4C01">
              <w:rPr>
                <w:rStyle w:val="Hyperlink"/>
                <w:noProof/>
                <w:lang w:val="nl-NL"/>
              </w:rPr>
              <w:t>2.6</w:t>
            </w:r>
            <w:r>
              <w:rPr>
                <w:rFonts w:eastAsiaTheme="minorEastAsia"/>
                <w:noProof/>
                <w:kern w:val="2"/>
                <w:sz w:val="24"/>
                <w:szCs w:val="24"/>
                <w:lang w:val="nl-NL" w:eastAsia="nl-NL"/>
                <w14:ligatures w14:val="standardContextual"/>
              </w:rPr>
              <w:tab/>
            </w:r>
            <w:r w:rsidRPr="006E4C01">
              <w:rPr>
                <w:rStyle w:val="Hyperlink"/>
                <w:noProof/>
                <w:lang w:val="nl-NL"/>
              </w:rPr>
              <w:t>Governance &amp; compliance</w:t>
            </w:r>
            <w:r>
              <w:rPr>
                <w:noProof/>
                <w:webHidden/>
              </w:rPr>
              <w:tab/>
            </w:r>
            <w:r>
              <w:rPr>
                <w:noProof/>
                <w:webHidden/>
              </w:rPr>
              <w:fldChar w:fldCharType="begin"/>
            </w:r>
            <w:r>
              <w:rPr>
                <w:noProof/>
                <w:webHidden/>
              </w:rPr>
              <w:instrText xml:space="preserve"> PAGEREF _Toc231804741 \h </w:instrText>
            </w:r>
            <w:r>
              <w:rPr>
                <w:noProof/>
                <w:webHidden/>
              </w:rPr>
            </w:r>
            <w:r>
              <w:rPr>
                <w:noProof/>
                <w:webHidden/>
              </w:rPr>
              <w:fldChar w:fldCharType="separate"/>
            </w:r>
            <w:r>
              <w:rPr>
                <w:noProof/>
                <w:webHidden/>
              </w:rPr>
              <w:t>9</w:t>
            </w:r>
            <w:r>
              <w:rPr>
                <w:noProof/>
                <w:webHidden/>
              </w:rPr>
              <w:fldChar w:fldCharType="end"/>
            </w:r>
          </w:hyperlink>
        </w:p>
        <w:p w14:paraId="0711F643" w14:textId="67823E9E" w:rsidR="003753EB" w:rsidRDefault="003753EB">
          <w:pPr>
            <w:pStyle w:val="Inhopg1"/>
            <w:rPr>
              <w:rFonts w:eastAsiaTheme="minorEastAsia"/>
              <w:kern w:val="2"/>
              <w:sz w:val="24"/>
              <w:szCs w:val="24"/>
              <w:lang w:eastAsia="nl-NL"/>
              <w14:ligatures w14:val="standardContextual"/>
            </w:rPr>
          </w:pPr>
          <w:hyperlink w:anchor="_Toc231804742" w:history="1">
            <w:r w:rsidRPr="006E4C01">
              <w:rPr>
                <w:rStyle w:val="Hyperlink"/>
              </w:rPr>
              <w:t>3</w:t>
            </w:r>
            <w:r>
              <w:rPr>
                <w:rFonts w:eastAsiaTheme="minorEastAsia"/>
                <w:kern w:val="2"/>
                <w:sz w:val="24"/>
                <w:szCs w:val="24"/>
                <w:lang w:eastAsia="nl-NL"/>
                <w14:ligatures w14:val="standardContextual"/>
              </w:rPr>
              <w:tab/>
            </w:r>
            <w:r w:rsidRPr="006E4C01">
              <w:rPr>
                <w:rStyle w:val="Hyperlink"/>
              </w:rPr>
              <w:t>De organisatie</w:t>
            </w:r>
            <w:r>
              <w:rPr>
                <w:webHidden/>
              </w:rPr>
              <w:tab/>
            </w:r>
            <w:r>
              <w:rPr>
                <w:webHidden/>
              </w:rPr>
              <w:fldChar w:fldCharType="begin"/>
            </w:r>
            <w:r>
              <w:rPr>
                <w:webHidden/>
              </w:rPr>
              <w:instrText xml:space="preserve"> PAGEREF _Toc231804742 \h </w:instrText>
            </w:r>
            <w:r>
              <w:rPr>
                <w:webHidden/>
              </w:rPr>
            </w:r>
            <w:r>
              <w:rPr>
                <w:webHidden/>
              </w:rPr>
              <w:fldChar w:fldCharType="separate"/>
            </w:r>
            <w:r>
              <w:rPr>
                <w:webHidden/>
              </w:rPr>
              <w:t>10</w:t>
            </w:r>
            <w:r>
              <w:rPr>
                <w:webHidden/>
              </w:rPr>
              <w:fldChar w:fldCharType="end"/>
            </w:r>
          </w:hyperlink>
        </w:p>
        <w:p w14:paraId="57211406" w14:textId="173637BE" w:rsidR="003753EB" w:rsidRDefault="003753EB">
          <w:pPr>
            <w:pStyle w:val="Inhopg2"/>
            <w:tabs>
              <w:tab w:val="left" w:pos="720"/>
              <w:tab w:val="right" w:leader="dot" w:pos="9061"/>
            </w:tabs>
            <w:rPr>
              <w:rFonts w:eastAsiaTheme="minorEastAsia"/>
              <w:noProof/>
              <w:kern w:val="2"/>
              <w:sz w:val="24"/>
              <w:szCs w:val="24"/>
              <w:lang w:val="nl-NL" w:eastAsia="nl-NL"/>
              <w14:ligatures w14:val="standardContextual"/>
            </w:rPr>
          </w:pPr>
          <w:hyperlink w:anchor="_Toc231804743" w:history="1">
            <w:r w:rsidRPr="006E4C01">
              <w:rPr>
                <w:rStyle w:val="Hyperlink"/>
                <w:noProof/>
                <w:lang w:val="nl-NL"/>
              </w:rPr>
              <w:t>3.1</w:t>
            </w:r>
            <w:r>
              <w:rPr>
                <w:rFonts w:eastAsiaTheme="minorEastAsia"/>
                <w:noProof/>
                <w:kern w:val="2"/>
                <w:sz w:val="24"/>
                <w:szCs w:val="24"/>
                <w:lang w:val="nl-NL" w:eastAsia="nl-NL"/>
                <w14:ligatures w14:val="standardContextual"/>
              </w:rPr>
              <w:tab/>
            </w:r>
            <w:r w:rsidRPr="006E4C01">
              <w:rPr>
                <w:rStyle w:val="Hyperlink"/>
                <w:noProof/>
                <w:lang w:val="nl-NL"/>
              </w:rPr>
              <w:t>Stichting ING CDC Pensioenfonds</w:t>
            </w:r>
            <w:r>
              <w:rPr>
                <w:noProof/>
                <w:webHidden/>
              </w:rPr>
              <w:tab/>
            </w:r>
            <w:r>
              <w:rPr>
                <w:noProof/>
                <w:webHidden/>
              </w:rPr>
              <w:fldChar w:fldCharType="begin"/>
            </w:r>
            <w:r>
              <w:rPr>
                <w:noProof/>
                <w:webHidden/>
              </w:rPr>
              <w:instrText xml:space="preserve"> PAGEREF _Toc231804743 \h </w:instrText>
            </w:r>
            <w:r>
              <w:rPr>
                <w:noProof/>
                <w:webHidden/>
              </w:rPr>
            </w:r>
            <w:r>
              <w:rPr>
                <w:noProof/>
                <w:webHidden/>
              </w:rPr>
              <w:fldChar w:fldCharType="separate"/>
            </w:r>
            <w:r>
              <w:rPr>
                <w:noProof/>
                <w:webHidden/>
              </w:rPr>
              <w:t>10</w:t>
            </w:r>
            <w:r>
              <w:rPr>
                <w:noProof/>
                <w:webHidden/>
              </w:rPr>
              <w:fldChar w:fldCharType="end"/>
            </w:r>
          </w:hyperlink>
        </w:p>
        <w:p w14:paraId="2B0A000D" w14:textId="60169C2B" w:rsidR="003753EB" w:rsidRDefault="003753EB">
          <w:pPr>
            <w:pStyle w:val="Inhopg2"/>
            <w:tabs>
              <w:tab w:val="left" w:pos="720"/>
              <w:tab w:val="right" w:leader="dot" w:pos="9061"/>
            </w:tabs>
            <w:rPr>
              <w:rFonts w:eastAsiaTheme="minorEastAsia"/>
              <w:noProof/>
              <w:kern w:val="2"/>
              <w:sz w:val="24"/>
              <w:szCs w:val="24"/>
              <w:lang w:val="nl-NL" w:eastAsia="nl-NL"/>
              <w14:ligatures w14:val="standardContextual"/>
            </w:rPr>
          </w:pPr>
          <w:hyperlink w:anchor="_Toc231804744" w:history="1">
            <w:r w:rsidRPr="006E4C01">
              <w:rPr>
                <w:rStyle w:val="Hyperlink"/>
                <w:noProof/>
                <w:lang w:val="nl-NL"/>
              </w:rPr>
              <w:t>3.2</w:t>
            </w:r>
            <w:r>
              <w:rPr>
                <w:rFonts w:eastAsiaTheme="minorEastAsia"/>
                <w:noProof/>
                <w:kern w:val="2"/>
                <w:sz w:val="24"/>
                <w:szCs w:val="24"/>
                <w:lang w:val="nl-NL" w:eastAsia="nl-NL"/>
                <w14:ligatures w14:val="standardContextual"/>
              </w:rPr>
              <w:tab/>
            </w:r>
            <w:r w:rsidRPr="006E4C01">
              <w:rPr>
                <w:rStyle w:val="Hyperlink"/>
                <w:noProof/>
                <w:lang w:val="nl-NL"/>
              </w:rPr>
              <w:t>Organisatieschema</w:t>
            </w:r>
            <w:r>
              <w:rPr>
                <w:noProof/>
                <w:webHidden/>
              </w:rPr>
              <w:tab/>
            </w:r>
            <w:r>
              <w:rPr>
                <w:noProof/>
                <w:webHidden/>
              </w:rPr>
              <w:fldChar w:fldCharType="begin"/>
            </w:r>
            <w:r>
              <w:rPr>
                <w:noProof/>
                <w:webHidden/>
              </w:rPr>
              <w:instrText xml:space="preserve"> PAGEREF _Toc231804744 \h </w:instrText>
            </w:r>
            <w:r>
              <w:rPr>
                <w:noProof/>
                <w:webHidden/>
              </w:rPr>
            </w:r>
            <w:r>
              <w:rPr>
                <w:noProof/>
                <w:webHidden/>
              </w:rPr>
              <w:fldChar w:fldCharType="separate"/>
            </w:r>
            <w:r>
              <w:rPr>
                <w:noProof/>
                <w:webHidden/>
              </w:rPr>
              <w:t>10</w:t>
            </w:r>
            <w:r>
              <w:rPr>
                <w:noProof/>
                <w:webHidden/>
              </w:rPr>
              <w:fldChar w:fldCharType="end"/>
            </w:r>
          </w:hyperlink>
        </w:p>
        <w:p w14:paraId="39B0AC58" w14:textId="5837589F" w:rsidR="003753EB" w:rsidRDefault="003753EB">
          <w:pPr>
            <w:pStyle w:val="Inhopg2"/>
            <w:tabs>
              <w:tab w:val="left" w:pos="720"/>
              <w:tab w:val="right" w:leader="dot" w:pos="9061"/>
            </w:tabs>
            <w:rPr>
              <w:rFonts w:eastAsiaTheme="minorEastAsia"/>
              <w:noProof/>
              <w:kern w:val="2"/>
              <w:sz w:val="24"/>
              <w:szCs w:val="24"/>
              <w:lang w:val="nl-NL" w:eastAsia="nl-NL"/>
              <w14:ligatures w14:val="standardContextual"/>
            </w:rPr>
          </w:pPr>
          <w:hyperlink w:anchor="_Toc231804745" w:history="1">
            <w:r w:rsidRPr="006E4C01">
              <w:rPr>
                <w:rStyle w:val="Hyperlink"/>
                <w:noProof/>
                <w:lang w:val="nl-NL"/>
              </w:rPr>
              <w:t>3.3</w:t>
            </w:r>
            <w:r>
              <w:rPr>
                <w:rFonts w:eastAsiaTheme="minorEastAsia"/>
                <w:noProof/>
                <w:kern w:val="2"/>
                <w:sz w:val="24"/>
                <w:szCs w:val="24"/>
                <w:lang w:val="nl-NL" w:eastAsia="nl-NL"/>
                <w14:ligatures w14:val="standardContextual"/>
              </w:rPr>
              <w:tab/>
            </w:r>
            <w:r w:rsidRPr="006E4C01">
              <w:rPr>
                <w:rStyle w:val="Hyperlink"/>
                <w:noProof/>
                <w:lang w:val="nl-NL"/>
              </w:rPr>
              <w:t>De fondsorganen</w:t>
            </w:r>
            <w:r>
              <w:rPr>
                <w:noProof/>
                <w:webHidden/>
              </w:rPr>
              <w:tab/>
            </w:r>
            <w:r>
              <w:rPr>
                <w:noProof/>
                <w:webHidden/>
              </w:rPr>
              <w:fldChar w:fldCharType="begin"/>
            </w:r>
            <w:r>
              <w:rPr>
                <w:noProof/>
                <w:webHidden/>
              </w:rPr>
              <w:instrText xml:space="preserve"> PAGEREF _Toc231804745 \h </w:instrText>
            </w:r>
            <w:r>
              <w:rPr>
                <w:noProof/>
                <w:webHidden/>
              </w:rPr>
            </w:r>
            <w:r>
              <w:rPr>
                <w:noProof/>
                <w:webHidden/>
              </w:rPr>
              <w:fldChar w:fldCharType="separate"/>
            </w:r>
            <w:r>
              <w:rPr>
                <w:noProof/>
                <w:webHidden/>
              </w:rPr>
              <w:t>11</w:t>
            </w:r>
            <w:r>
              <w:rPr>
                <w:noProof/>
                <w:webHidden/>
              </w:rPr>
              <w:fldChar w:fldCharType="end"/>
            </w:r>
          </w:hyperlink>
        </w:p>
        <w:p w14:paraId="49D07998" w14:textId="3079D7A7" w:rsidR="003753EB" w:rsidRDefault="003753EB">
          <w:pPr>
            <w:pStyle w:val="Inhopg3"/>
            <w:tabs>
              <w:tab w:val="left" w:pos="1200"/>
              <w:tab w:val="right" w:leader="dot" w:pos="9061"/>
            </w:tabs>
            <w:rPr>
              <w:rFonts w:eastAsiaTheme="minorEastAsia"/>
              <w:noProof/>
              <w:kern w:val="2"/>
              <w:sz w:val="24"/>
              <w:szCs w:val="24"/>
              <w:lang w:val="nl-NL" w:eastAsia="nl-NL"/>
              <w14:ligatures w14:val="standardContextual"/>
            </w:rPr>
          </w:pPr>
          <w:hyperlink w:anchor="_Toc231804746" w:history="1">
            <w:r w:rsidRPr="006E4C01">
              <w:rPr>
                <w:rStyle w:val="Hyperlink"/>
                <w:noProof/>
                <w:lang w:val="nl-NL"/>
              </w:rPr>
              <w:t>3.3.1</w:t>
            </w:r>
            <w:r>
              <w:rPr>
                <w:rFonts w:eastAsiaTheme="minorEastAsia"/>
                <w:noProof/>
                <w:kern w:val="2"/>
                <w:sz w:val="24"/>
                <w:szCs w:val="24"/>
                <w:lang w:val="nl-NL" w:eastAsia="nl-NL"/>
                <w14:ligatures w14:val="standardContextual"/>
              </w:rPr>
              <w:tab/>
            </w:r>
            <w:r w:rsidRPr="006E4C01">
              <w:rPr>
                <w:rStyle w:val="Hyperlink"/>
                <w:noProof/>
                <w:lang w:val="nl-NL"/>
              </w:rPr>
              <w:t>Bestuur</w:t>
            </w:r>
            <w:r>
              <w:rPr>
                <w:noProof/>
                <w:webHidden/>
              </w:rPr>
              <w:tab/>
            </w:r>
            <w:r>
              <w:rPr>
                <w:noProof/>
                <w:webHidden/>
              </w:rPr>
              <w:fldChar w:fldCharType="begin"/>
            </w:r>
            <w:r>
              <w:rPr>
                <w:noProof/>
                <w:webHidden/>
              </w:rPr>
              <w:instrText xml:space="preserve"> PAGEREF _Toc231804746 \h </w:instrText>
            </w:r>
            <w:r>
              <w:rPr>
                <w:noProof/>
                <w:webHidden/>
              </w:rPr>
            </w:r>
            <w:r>
              <w:rPr>
                <w:noProof/>
                <w:webHidden/>
              </w:rPr>
              <w:fldChar w:fldCharType="separate"/>
            </w:r>
            <w:r>
              <w:rPr>
                <w:noProof/>
                <w:webHidden/>
              </w:rPr>
              <w:t>11</w:t>
            </w:r>
            <w:r>
              <w:rPr>
                <w:noProof/>
                <w:webHidden/>
              </w:rPr>
              <w:fldChar w:fldCharType="end"/>
            </w:r>
          </w:hyperlink>
        </w:p>
        <w:p w14:paraId="5DD59CF3" w14:textId="02A745FD" w:rsidR="003753EB" w:rsidRDefault="003753EB">
          <w:pPr>
            <w:pStyle w:val="Inhopg3"/>
            <w:tabs>
              <w:tab w:val="left" w:pos="1200"/>
              <w:tab w:val="right" w:leader="dot" w:pos="9061"/>
            </w:tabs>
            <w:rPr>
              <w:rFonts w:eastAsiaTheme="minorEastAsia"/>
              <w:noProof/>
              <w:kern w:val="2"/>
              <w:sz w:val="24"/>
              <w:szCs w:val="24"/>
              <w:lang w:val="nl-NL" w:eastAsia="nl-NL"/>
              <w14:ligatures w14:val="standardContextual"/>
            </w:rPr>
          </w:pPr>
          <w:hyperlink w:anchor="_Toc231804747" w:history="1">
            <w:r w:rsidRPr="006E4C01">
              <w:rPr>
                <w:rStyle w:val="Hyperlink"/>
                <w:noProof/>
                <w:lang w:val="nl-NL"/>
              </w:rPr>
              <w:t>3.3.2</w:t>
            </w:r>
            <w:r>
              <w:rPr>
                <w:rFonts w:eastAsiaTheme="minorEastAsia"/>
                <w:noProof/>
                <w:kern w:val="2"/>
                <w:sz w:val="24"/>
                <w:szCs w:val="24"/>
                <w:lang w:val="nl-NL" w:eastAsia="nl-NL"/>
                <w14:ligatures w14:val="standardContextual"/>
              </w:rPr>
              <w:tab/>
            </w:r>
            <w:r w:rsidRPr="006E4C01">
              <w:rPr>
                <w:rStyle w:val="Hyperlink"/>
                <w:noProof/>
                <w:lang w:val="nl-NL"/>
              </w:rPr>
              <w:t>Verantwoordingsorgaan</w:t>
            </w:r>
            <w:r>
              <w:rPr>
                <w:noProof/>
                <w:webHidden/>
              </w:rPr>
              <w:tab/>
            </w:r>
            <w:r>
              <w:rPr>
                <w:noProof/>
                <w:webHidden/>
              </w:rPr>
              <w:fldChar w:fldCharType="begin"/>
            </w:r>
            <w:r>
              <w:rPr>
                <w:noProof/>
                <w:webHidden/>
              </w:rPr>
              <w:instrText xml:space="preserve"> PAGEREF _Toc231804747 \h </w:instrText>
            </w:r>
            <w:r>
              <w:rPr>
                <w:noProof/>
                <w:webHidden/>
              </w:rPr>
            </w:r>
            <w:r>
              <w:rPr>
                <w:noProof/>
                <w:webHidden/>
              </w:rPr>
              <w:fldChar w:fldCharType="separate"/>
            </w:r>
            <w:r>
              <w:rPr>
                <w:noProof/>
                <w:webHidden/>
              </w:rPr>
              <w:t>14</w:t>
            </w:r>
            <w:r>
              <w:rPr>
                <w:noProof/>
                <w:webHidden/>
              </w:rPr>
              <w:fldChar w:fldCharType="end"/>
            </w:r>
          </w:hyperlink>
        </w:p>
        <w:p w14:paraId="66F30339" w14:textId="102F4554" w:rsidR="003753EB" w:rsidRDefault="003753EB">
          <w:pPr>
            <w:pStyle w:val="Inhopg3"/>
            <w:tabs>
              <w:tab w:val="left" w:pos="1200"/>
              <w:tab w:val="right" w:leader="dot" w:pos="9061"/>
            </w:tabs>
            <w:rPr>
              <w:rFonts w:eastAsiaTheme="minorEastAsia"/>
              <w:noProof/>
              <w:kern w:val="2"/>
              <w:sz w:val="24"/>
              <w:szCs w:val="24"/>
              <w:lang w:val="nl-NL" w:eastAsia="nl-NL"/>
              <w14:ligatures w14:val="standardContextual"/>
            </w:rPr>
          </w:pPr>
          <w:hyperlink w:anchor="_Toc231804748" w:history="1">
            <w:r w:rsidRPr="006E4C01">
              <w:rPr>
                <w:rStyle w:val="Hyperlink"/>
                <w:noProof/>
                <w:lang w:val="nl-NL"/>
              </w:rPr>
              <w:t>3.3.3</w:t>
            </w:r>
            <w:r>
              <w:rPr>
                <w:rFonts w:eastAsiaTheme="minorEastAsia"/>
                <w:noProof/>
                <w:kern w:val="2"/>
                <w:sz w:val="24"/>
                <w:szCs w:val="24"/>
                <w:lang w:val="nl-NL" w:eastAsia="nl-NL"/>
                <w14:ligatures w14:val="standardContextual"/>
              </w:rPr>
              <w:tab/>
            </w:r>
            <w:r w:rsidRPr="006E4C01">
              <w:rPr>
                <w:rStyle w:val="Hyperlink"/>
                <w:noProof/>
                <w:lang w:val="nl-NL"/>
              </w:rPr>
              <w:t>Raad van toezicht</w:t>
            </w:r>
            <w:r>
              <w:rPr>
                <w:noProof/>
                <w:webHidden/>
              </w:rPr>
              <w:tab/>
            </w:r>
            <w:r>
              <w:rPr>
                <w:noProof/>
                <w:webHidden/>
              </w:rPr>
              <w:fldChar w:fldCharType="begin"/>
            </w:r>
            <w:r>
              <w:rPr>
                <w:noProof/>
                <w:webHidden/>
              </w:rPr>
              <w:instrText xml:space="preserve"> PAGEREF _Toc231804748 \h </w:instrText>
            </w:r>
            <w:r>
              <w:rPr>
                <w:noProof/>
                <w:webHidden/>
              </w:rPr>
            </w:r>
            <w:r>
              <w:rPr>
                <w:noProof/>
                <w:webHidden/>
              </w:rPr>
              <w:fldChar w:fldCharType="separate"/>
            </w:r>
            <w:r>
              <w:rPr>
                <w:noProof/>
                <w:webHidden/>
              </w:rPr>
              <w:t>15</w:t>
            </w:r>
            <w:r>
              <w:rPr>
                <w:noProof/>
                <w:webHidden/>
              </w:rPr>
              <w:fldChar w:fldCharType="end"/>
            </w:r>
          </w:hyperlink>
        </w:p>
        <w:p w14:paraId="13CF7F98" w14:textId="4C8859F3" w:rsidR="003753EB" w:rsidRDefault="003753EB">
          <w:pPr>
            <w:pStyle w:val="Inhopg2"/>
            <w:tabs>
              <w:tab w:val="left" w:pos="720"/>
              <w:tab w:val="right" w:leader="dot" w:pos="9061"/>
            </w:tabs>
            <w:rPr>
              <w:rFonts w:eastAsiaTheme="minorEastAsia"/>
              <w:noProof/>
              <w:kern w:val="2"/>
              <w:sz w:val="24"/>
              <w:szCs w:val="24"/>
              <w:lang w:val="nl-NL" w:eastAsia="nl-NL"/>
              <w14:ligatures w14:val="standardContextual"/>
            </w:rPr>
          </w:pPr>
          <w:hyperlink w:anchor="_Toc231804749" w:history="1">
            <w:r w:rsidRPr="006E4C01">
              <w:rPr>
                <w:rStyle w:val="Hyperlink"/>
                <w:noProof/>
                <w:lang w:val="nl-NL"/>
              </w:rPr>
              <w:t>3.4</w:t>
            </w:r>
            <w:r>
              <w:rPr>
                <w:rFonts w:eastAsiaTheme="minorEastAsia"/>
                <w:noProof/>
                <w:kern w:val="2"/>
                <w:sz w:val="24"/>
                <w:szCs w:val="24"/>
                <w:lang w:val="nl-NL" w:eastAsia="nl-NL"/>
                <w14:ligatures w14:val="standardContextual"/>
              </w:rPr>
              <w:tab/>
            </w:r>
            <w:r w:rsidRPr="006E4C01">
              <w:rPr>
                <w:rStyle w:val="Hyperlink"/>
                <w:noProof/>
                <w:lang w:val="nl-NL"/>
              </w:rPr>
              <w:t>Accountant en actuaris</w:t>
            </w:r>
            <w:r>
              <w:rPr>
                <w:noProof/>
                <w:webHidden/>
              </w:rPr>
              <w:tab/>
            </w:r>
            <w:r>
              <w:rPr>
                <w:noProof/>
                <w:webHidden/>
              </w:rPr>
              <w:fldChar w:fldCharType="begin"/>
            </w:r>
            <w:r>
              <w:rPr>
                <w:noProof/>
                <w:webHidden/>
              </w:rPr>
              <w:instrText xml:space="preserve"> PAGEREF _Toc231804749 \h </w:instrText>
            </w:r>
            <w:r>
              <w:rPr>
                <w:noProof/>
                <w:webHidden/>
              </w:rPr>
            </w:r>
            <w:r>
              <w:rPr>
                <w:noProof/>
                <w:webHidden/>
              </w:rPr>
              <w:fldChar w:fldCharType="separate"/>
            </w:r>
            <w:r>
              <w:rPr>
                <w:noProof/>
                <w:webHidden/>
              </w:rPr>
              <w:t>17</w:t>
            </w:r>
            <w:r>
              <w:rPr>
                <w:noProof/>
                <w:webHidden/>
              </w:rPr>
              <w:fldChar w:fldCharType="end"/>
            </w:r>
          </w:hyperlink>
        </w:p>
        <w:p w14:paraId="1A5EB48D" w14:textId="761976C7" w:rsidR="003753EB" w:rsidRDefault="003753EB">
          <w:pPr>
            <w:pStyle w:val="Inhopg2"/>
            <w:tabs>
              <w:tab w:val="left" w:pos="720"/>
              <w:tab w:val="right" w:leader="dot" w:pos="9061"/>
            </w:tabs>
            <w:rPr>
              <w:rFonts w:eastAsiaTheme="minorEastAsia"/>
              <w:noProof/>
              <w:kern w:val="2"/>
              <w:sz w:val="24"/>
              <w:szCs w:val="24"/>
              <w:lang w:val="nl-NL" w:eastAsia="nl-NL"/>
              <w14:ligatures w14:val="standardContextual"/>
            </w:rPr>
          </w:pPr>
          <w:hyperlink w:anchor="_Toc231804750" w:history="1">
            <w:r w:rsidRPr="006E4C01">
              <w:rPr>
                <w:rStyle w:val="Hyperlink"/>
                <w:noProof/>
                <w:lang w:val="nl-NL"/>
              </w:rPr>
              <w:t>3.5</w:t>
            </w:r>
            <w:r>
              <w:rPr>
                <w:rFonts w:eastAsiaTheme="minorEastAsia"/>
                <w:noProof/>
                <w:kern w:val="2"/>
                <w:sz w:val="24"/>
                <w:szCs w:val="24"/>
                <w:lang w:val="nl-NL" w:eastAsia="nl-NL"/>
                <w14:ligatures w14:val="standardContextual"/>
              </w:rPr>
              <w:tab/>
            </w:r>
            <w:r w:rsidRPr="006E4C01">
              <w:rPr>
                <w:rStyle w:val="Hyperlink"/>
                <w:noProof/>
                <w:lang w:val="nl-NL"/>
              </w:rPr>
              <w:t>Uitbestede werkzaamheden</w:t>
            </w:r>
            <w:r>
              <w:rPr>
                <w:noProof/>
                <w:webHidden/>
              </w:rPr>
              <w:tab/>
            </w:r>
            <w:r>
              <w:rPr>
                <w:noProof/>
                <w:webHidden/>
              </w:rPr>
              <w:fldChar w:fldCharType="begin"/>
            </w:r>
            <w:r>
              <w:rPr>
                <w:noProof/>
                <w:webHidden/>
              </w:rPr>
              <w:instrText xml:space="preserve"> PAGEREF _Toc231804750 \h </w:instrText>
            </w:r>
            <w:r>
              <w:rPr>
                <w:noProof/>
                <w:webHidden/>
              </w:rPr>
            </w:r>
            <w:r>
              <w:rPr>
                <w:noProof/>
                <w:webHidden/>
              </w:rPr>
              <w:fldChar w:fldCharType="separate"/>
            </w:r>
            <w:r>
              <w:rPr>
                <w:noProof/>
                <w:webHidden/>
              </w:rPr>
              <w:t>17</w:t>
            </w:r>
            <w:r>
              <w:rPr>
                <w:noProof/>
                <w:webHidden/>
              </w:rPr>
              <w:fldChar w:fldCharType="end"/>
            </w:r>
          </w:hyperlink>
        </w:p>
        <w:p w14:paraId="3E413FE4" w14:textId="64CD8BB1" w:rsidR="003753EB" w:rsidRDefault="003753EB">
          <w:pPr>
            <w:pStyle w:val="Inhopg2"/>
            <w:tabs>
              <w:tab w:val="left" w:pos="720"/>
              <w:tab w:val="right" w:leader="dot" w:pos="9061"/>
            </w:tabs>
            <w:rPr>
              <w:rFonts w:eastAsiaTheme="minorEastAsia"/>
              <w:noProof/>
              <w:kern w:val="2"/>
              <w:sz w:val="24"/>
              <w:szCs w:val="24"/>
              <w:lang w:val="nl-NL" w:eastAsia="nl-NL"/>
              <w14:ligatures w14:val="standardContextual"/>
            </w:rPr>
          </w:pPr>
          <w:hyperlink w:anchor="_Toc231804751" w:history="1">
            <w:r w:rsidRPr="006E4C01">
              <w:rPr>
                <w:rStyle w:val="Hyperlink"/>
                <w:noProof/>
                <w:lang w:val="nl-NL"/>
              </w:rPr>
              <w:t>3.6</w:t>
            </w:r>
            <w:r>
              <w:rPr>
                <w:rFonts w:eastAsiaTheme="minorEastAsia"/>
                <w:noProof/>
                <w:kern w:val="2"/>
                <w:sz w:val="24"/>
                <w:szCs w:val="24"/>
                <w:lang w:val="nl-NL" w:eastAsia="nl-NL"/>
                <w14:ligatures w14:val="standardContextual"/>
              </w:rPr>
              <w:tab/>
            </w:r>
            <w:r w:rsidRPr="006E4C01">
              <w:rPr>
                <w:rStyle w:val="Hyperlink"/>
                <w:noProof/>
                <w:lang w:val="nl-NL"/>
              </w:rPr>
              <w:t>Verslaggeving</w:t>
            </w:r>
            <w:r>
              <w:rPr>
                <w:noProof/>
                <w:webHidden/>
              </w:rPr>
              <w:tab/>
            </w:r>
            <w:r>
              <w:rPr>
                <w:noProof/>
                <w:webHidden/>
              </w:rPr>
              <w:fldChar w:fldCharType="begin"/>
            </w:r>
            <w:r>
              <w:rPr>
                <w:noProof/>
                <w:webHidden/>
              </w:rPr>
              <w:instrText xml:space="preserve"> PAGEREF _Toc231804751 \h </w:instrText>
            </w:r>
            <w:r>
              <w:rPr>
                <w:noProof/>
                <w:webHidden/>
              </w:rPr>
            </w:r>
            <w:r>
              <w:rPr>
                <w:noProof/>
                <w:webHidden/>
              </w:rPr>
              <w:fldChar w:fldCharType="separate"/>
            </w:r>
            <w:r>
              <w:rPr>
                <w:noProof/>
                <w:webHidden/>
              </w:rPr>
              <w:t>18</w:t>
            </w:r>
            <w:r>
              <w:rPr>
                <w:noProof/>
                <w:webHidden/>
              </w:rPr>
              <w:fldChar w:fldCharType="end"/>
            </w:r>
          </w:hyperlink>
        </w:p>
        <w:p w14:paraId="683CF048" w14:textId="6E80ED21" w:rsidR="003753EB" w:rsidRDefault="003753EB">
          <w:pPr>
            <w:pStyle w:val="Inhopg1"/>
            <w:rPr>
              <w:rFonts w:eastAsiaTheme="minorEastAsia"/>
              <w:kern w:val="2"/>
              <w:sz w:val="24"/>
              <w:szCs w:val="24"/>
              <w:lang w:eastAsia="nl-NL"/>
              <w14:ligatures w14:val="standardContextual"/>
            </w:rPr>
          </w:pPr>
          <w:hyperlink w:anchor="_Toc231804752" w:history="1">
            <w:r w:rsidRPr="006E4C01">
              <w:rPr>
                <w:rStyle w:val="Hyperlink"/>
              </w:rPr>
              <w:t>4</w:t>
            </w:r>
            <w:r>
              <w:rPr>
                <w:rFonts w:eastAsiaTheme="minorEastAsia"/>
                <w:kern w:val="2"/>
                <w:sz w:val="24"/>
                <w:szCs w:val="24"/>
                <w:lang w:eastAsia="nl-NL"/>
                <w14:ligatures w14:val="standardContextual"/>
              </w:rPr>
              <w:tab/>
            </w:r>
            <w:r w:rsidRPr="006E4C01">
              <w:rPr>
                <w:rStyle w:val="Hyperlink"/>
              </w:rPr>
              <w:t>Uitvoeringsovereenkomst</w:t>
            </w:r>
            <w:r>
              <w:rPr>
                <w:webHidden/>
              </w:rPr>
              <w:tab/>
            </w:r>
            <w:r>
              <w:rPr>
                <w:webHidden/>
              </w:rPr>
              <w:fldChar w:fldCharType="begin"/>
            </w:r>
            <w:r>
              <w:rPr>
                <w:webHidden/>
              </w:rPr>
              <w:instrText xml:space="preserve"> PAGEREF _Toc231804752 \h </w:instrText>
            </w:r>
            <w:r>
              <w:rPr>
                <w:webHidden/>
              </w:rPr>
            </w:r>
            <w:r>
              <w:rPr>
                <w:webHidden/>
              </w:rPr>
              <w:fldChar w:fldCharType="separate"/>
            </w:r>
            <w:r>
              <w:rPr>
                <w:webHidden/>
              </w:rPr>
              <w:t>20</w:t>
            </w:r>
            <w:r>
              <w:rPr>
                <w:webHidden/>
              </w:rPr>
              <w:fldChar w:fldCharType="end"/>
            </w:r>
          </w:hyperlink>
        </w:p>
        <w:p w14:paraId="04DAEDED" w14:textId="5F4DCD68" w:rsidR="003753EB" w:rsidRDefault="003753EB">
          <w:pPr>
            <w:pStyle w:val="Inhopg1"/>
            <w:rPr>
              <w:rFonts w:eastAsiaTheme="minorEastAsia"/>
              <w:kern w:val="2"/>
              <w:sz w:val="24"/>
              <w:szCs w:val="24"/>
              <w:lang w:eastAsia="nl-NL"/>
              <w14:ligatures w14:val="standardContextual"/>
            </w:rPr>
          </w:pPr>
          <w:hyperlink w:anchor="_Toc231804753" w:history="1">
            <w:r w:rsidRPr="006E4C01">
              <w:rPr>
                <w:rStyle w:val="Hyperlink"/>
              </w:rPr>
              <w:t>5</w:t>
            </w:r>
            <w:r>
              <w:rPr>
                <w:rFonts w:eastAsiaTheme="minorEastAsia"/>
                <w:kern w:val="2"/>
                <w:sz w:val="24"/>
                <w:szCs w:val="24"/>
                <w:lang w:eastAsia="nl-NL"/>
                <w14:ligatures w14:val="standardContextual"/>
              </w:rPr>
              <w:tab/>
            </w:r>
            <w:r w:rsidRPr="006E4C01">
              <w:rPr>
                <w:rStyle w:val="Hyperlink"/>
              </w:rPr>
              <w:t>Pensioenaanspraken</w:t>
            </w:r>
            <w:r>
              <w:rPr>
                <w:webHidden/>
              </w:rPr>
              <w:tab/>
            </w:r>
            <w:r>
              <w:rPr>
                <w:webHidden/>
              </w:rPr>
              <w:fldChar w:fldCharType="begin"/>
            </w:r>
            <w:r>
              <w:rPr>
                <w:webHidden/>
              </w:rPr>
              <w:instrText xml:space="preserve"> PAGEREF _Toc231804753 \h </w:instrText>
            </w:r>
            <w:r>
              <w:rPr>
                <w:webHidden/>
              </w:rPr>
            </w:r>
            <w:r>
              <w:rPr>
                <w:webHidden/>
              </w:rPr>
              <w:fldChar w:fldCharType="separate"/>
            </w:r>
            <w:r>
              <w:rPr>
                <w:webHidden/>
              </w:rPr>
              <w:t>22</w:t>
            </w:r>
            <w:r>
              <w:rPr>
                <w:webHidden/>
              </w:rPr>
              <w:fldChar w:fldCharType="end"/>
            </w:r>
          </w:hyperlink>
        </w:p>
        <w:p w14:paraId="5DE6428F" w14:textId="6641F7D6" w:rsidR="003753EB" w:rsidRDefault="003753EB">
          <w:pPr>
            <w:pStyle w:val="Inhopg2"/>
            <w:tabs>
              <w:tab w:val="left" w:pos="720"/>
              <w:tab w:val="right" w:leader="dot" w:pos="9061"/>
            </w:tabs>
            <w:rPr>
              <w:rFonts w:eastAsiaTheme="minorEastAsia"/>
              <w:noProof/>
              <w:kern w:val="2"/>
              <w:sz w:val="24"/>
              <w:szCs w:val="24"/>
              <w:lang w:val="nl-NL" w:eastAsia="nl-NL"/>
              <w14:ligatures w14:val="standardContextual"/>
            </w:rPr>
          </w:pPr>
          <w:hyperlink w:anchor="_Toc231804754" w:history="1">
            <w:r w:rsidRPr="006E4C01">
              <w:rPr>
                <w:rStyle w:val="Hyperlink"/>
                <w:noProof/>
                <w:lang w:val="nl-NL"/>
              </w:rPr>
              <w:t>5.1</w:t>
            </w:r>
            <w:r>
              <w:rPr>
                <w:rFonts w:eastAsiaTheme="minorEastAsia"/>
                <w:noProof/>
                <w:kern w:val="2"/>
                <w:sz w:val="24"/>
                <w:szCs w:val="24"/>
                <w:lang w:val="nl-NL" w:eastAsia="nl-NL"/>
                <w14:ligatures w14:val="standardContextual"/>
              </w:rPr>
              <w:tab/>
            </w:r>
            <w:r w:rsidRPr="006E4C01">
              <w:rPr>
                <w:rStyle w:val="Hyperlink"/>
                <w:noProof/>
                <w:lang w:val="nl-NL"/>
              </w:rPr>
              <w:t>Kernelementen van de Basispensioenregeling 67</w:t>
            </w:r>
            <w:r>
              <w:rPr>
                <w:noProof/>
                <w:webHidden/>
              </w:rPr>
              <w:tab/>
            </w:r>
            <w:r>
              <w:rPr>
                <w:noProof/>
                <w:webHidden/>
              </w:rPr>
              <w:fldChar w:fldCharType="begin"/>
            </w:r>
            <w:r>
              <w:rPr>
                <w:noProof/>
                <w:webHidden/>
              </w:rPr>
              <w:instrText xml:space="preserve"> PAGEREF _Toc231804754 \h </w:instrText>
            </w:r>
            <w:r>
              <w:rPr>
                <w:noProof/>
                <w:webHidden/>
              </w:rPr>
            </w:r>
            <w:r>
              <w:rPr>
                <w:noProof/>
                <w:webHidden/>
              </w:rPr>
              <w:fldChar w:fldCharType="separate"/>
            </w:r>
            <w:r>
              <w:rPr>
                <w:noProof/>
                <w:webHidden/>
              </w:rPr>
              <w:t>22</w:t>
            </w:r>
            <w:r>
              <w:rPr>
                <w:noProof/>
                <w:webHidden/>
              </w:rPr>
              <w:fldChar w:fldCharType="end"/>
            </w:r>
          </w:hyperlink>
        </w:p>
        <w:p w14:paraId="65946142" w14:textId="6BC45091" w:rsidR="003753EB" w:rsidRDefault="003753EB">
          <w:pPr>
            <w:pStyle w:val="Inhopg1"/>
            <w:rPr>
              <w:rFonts w:eastAsiaTheme="minorEastAsia"/>
              <w:kern w:val="2"/>
              <w:sz w:val="24"/>
              <w:szCs w:val="24"/>
              <w:lang w:eastAsia="nl-NL"/>
              <w14:ligatures w14:val="standardContextual"/>
            </w:rPr>
          </w:pPr>
          <w:hyperlink w:anchor="_Toc231804755" w:history="1">
            <w:r w:rsidRPr="006E4C01">
              <w:rPr>
                <w:rStyle w:val="Hyperlink"/>
              </w:rPr>
              <w:t>6</w:t>
            </w:r>
            <w:r>
              <w:rPr>
                <w:rFonts w:eastAsiaTheme="minorEastAsia"/>
                <w:kern w:val="2"/>
                <w:sz w:val="24"/>
                <w:szCs w:val="24"/>
                <w:lang w:eastAsia="nl-NL"/>
                <w14:ligatures w14:val="standardContextual"/>
              </w:rPr>
              <w:tab/>
            </w:r>
            <w:r w:rsidRPr="006E4C01">
              <w:rPr>
                <w:rStyle w:val="Hyperlink"/>
              </w:rPr>
              <w:t>Eigen beheer en herverzekering</w:t>
            </w:r>
            <w:r>
              <w:rPr>
                <w:webHidden/>
              </w:rPr>
              <w:tab/>
            </w:r>
            <w:r>
              <w:rPr>
                <w:webHidden/>
              </w:rPr>
              <w:fldChar w:fldCharType="begin"/>
            </w:r>
            <w:r>
              <w:rPr>
                <w:webHidden/>
              </w:rPr>
              <w:instrText xml:space="preserve"> PAGEREF _Toc231804755 \h </w:instrText>
            </w:r>
            <w:r>
              <w:rPr>
                <w:webHidden/>
              </w:rPr>
            </w:r>
            <w:r>
              <w:rPr>
                <w:webHidden/>
              </w:rPr>
              <w:fldChar w:fldCharType="separate"/>
            </w:r>
            <w:r>
              <w:rPr>
                <w:webHidden/>
              </w:rPr>
              <w:t>25</w:t>
            </w:r>
            <w:r>
              <w:rPr>
                <w:webHidden/>
              </w:rPr>
              <w:fldChar w:fldCharType="end"/>
            </w:r>
          </w:hyperlink>
        </w:p>
        <w:p w14:paraId="0863FDBE" w14:textId="5698B9BA" w:rsidR="003753EB" w:rsidRDefault="003753EB">
          <w:pPr>
            <w:pStyle w:val="Inhopg1"/>
            <w:rPr>
              <w:rFonts w:eastAsiaTheme="minorEastAsia"/>
              <w:kern w:val="2"/>
              <w:sz w:val="24"/>
              <w:szCs w:val="24"/>
              <w:lang w:eastAsia="nl-NL"/>
              <w14:ligatures w14:val="standardContextual"/>
            </w:rPr>
          </w:pPr>
          <w:hyperlink w:anchor="_Toc231804756" w:history="1">
            <w:r w:rsidRPr="006E4C01">
              <w:rPr>
                <w:rStyle w:val="Hyperlink"/>
              </w:rPr>
              <w:t>7</w:t>
            </w:r>
            <w:r>
              <w:rPr>
                <w:rFonts w:eastAsiaTheme="minorEastAsia"/>
                <w:kern w:val="2"/>
                <w:sz w:val="24"/>
                <w:szCs w:val="24"/>
                <w:lang w:eastAsia="nl-NL"/>
                <w14:ligatures w14:val="standardContextual"/>
              </w:rPr>
              <w:tab/>
            </w:r>
            <w:r w:rsidRPr="006E4C01">
              <w:rPr>
                <w:rStyle w:val="Hyperlink"/>
              </w:rPr>
              <w:t>Waarderingsgrondslagen van de balans</w:t>
            </w:r>
            <w:r>
              <w:rPr>
                <w:webHidden/>
              </w:rPr>
              <w:tab/>
            </w:r>
            <w:r>
              <w:rPr>
                <w:webHidden/>
              </w:rPr>
              <w:fldChar w:fldCharType="begin"/>
            </w:r>
            <w:r>
              <w:rPr>
                <w:webHidden/>
              </w:rPr>
              <w:instrText xml:space="preserve"> PAGEREF _Toc231804756 \h </w:instrText>
            </w:r>
            <w:r>
              <w:rPr>
                <w:webHidden/>
              </w:rPr>
            </w:r>
            <w:r>
              <w:rPr>
                <w:webHidden/>
              </w:rPr>
              <w:fldChar w:fldCharType="separate"/>
            </w:r>
            <w:r>
              <w:rPr>
                <w:webHidden/>
              </w:rPr>
              <w:t>26</w:t>
            </w:r>
            <w:r>
              <w:rPr>
                <w:webHidden/>
              </w:rPr>
              <w:fldChar w:fldCharType="end"/>
            </w:r>
          </w:hyperlink>
        </w:p>
        <w:p w14:paraId="7F0A108D" w14:textId="4DE3F563" w:rsidR="003753EB" w:rsidRDefault="003753EB">
          <w:pPr>
            <w:pStyle w:val="Inhopg2"/>
            <w:tabs>
              <w:tab w:val="left" w:pos="720"/>
              <w:tab w:val="right" w:leader="dot" w:pos="9061"/>
            </w:tabs>
            <w:rPr>
              <w:rFonts w:eastAsiaTheme="minorEastAsia"/>
              <w:noProof/>
              <w:kern w:val="2"/>
              <w:sz w:val="24"/>
              <w:szCs w:val="24"/>
              <w:lang w:val="nl-NL" w:eastAsia="nl-NL"/>
              <w14:ligatures w14:val="standardContextual"/>
            </w:rPr>
          </w:pPr>
          <w:hyperlink w:anchor="_Toc231804757" w:history="1">
            <w:r w:rsidRPr="006E4C01">
              <w:rPr>
                <w:rStyle w:val="Hyperlink"/>
                <w:noProof/>
                <w:lang w:val="nl-NL"/>
              </w:rPr>
              <w:t>7.1</w:t>
            </w:r>
            <w:r>
              <w:rPr>
                <w:rFonts w:eastAsiaTheme="minorEastAsia"/>
                <w:noProof/>
                <w:kern w:val="2"/>
                <w:sz w:val="24"/>
                <w:szCs w:val="24"/>
                <w:lang w:val="nl-NL" w:eastAsia="nl-NL"/>
                <w14:ligatures w14:val="standardContextual"/>
              </w:rPr>
              <w:tab/>
            </w:r>
            <w:r w:rsidRPr="006E4C01">
              <w:rPr>
                <w:rStyle w:val="Hyperlink"/>
                <w:noProof/>
                <w:lang w:val="nl-NL"/>
              </w:rPr>
              <w:t>Technische voorziening</w:t>
            </w:r>
            <w:r>
              <w:rPr>
                <w:noProof/>
                <w:webHidden/>
              </w:rPr>
              <w:tab/>
            </w:r>
            <w:r>
              <w:rPr>
                <w:noProof/>
                <w:webHidden/>
              </w:rPr>
              <w:fldChar w:fldCharType="begin"/>
            </w:r>
            <w:r>
              <w:rPr>
                <w:noProof/>
                <w:webHidden/>
              </w:rPr>
              <w:instrText xml:space="preserve"> PAGEREF _Toc231804757 \h </w:instrText>
            </w:r>
            <w:r>
              <w:rPr>
                <w:noProof/>
                <w:webHidden/>
              </w:rPr>
            </w:r>
            <w:r>
              <w:rPr>
                <w:noProof/>
                <w:webHidden/>
              </w:rPr>
              <w:fldChar w:fldCharType="separate"/>
            </w:r>
            <w:r>
              <w:rPr>
                <w:noProof/>
                <w:webHidden/>
              </w:rPr>
              <w:t>26</w:t>
            </w:r>
            <w:r>
              <w:rPr>
                <w:noProof/>
                <w:webHidden/>
              </w:rPr>
              <w:fldChar w:fldCharType="end"/>
            </w:r>
          </w:hyperlink>
        </w:p>
        <w:p w14:paraId="4029E9B5" w14:textId="51806471" w:rsidR="003753EB" w:rsidRDefault="003753EB">
          <w:pPr>
            <w:pStyle w:val="Inhopg2"/>
            <w:tabs>
              <w:tab w:val="left" w:pos="720"/>
              <w:tab w:val="right" w:leader="dot" w:pos="9061"/>
            </w:tabs>
            <w:rPr>
              <w:rFonts w:eastAsiaTheme="minorEastAsia"/>
              <w:noProof/>
              <w:kern w:val="2"/>
              <w:sz w:val="24"/>
              <w:szCs w:val="24"/>
              <w:lang w:val="nl-NL" w:eastAsia="nl-NL"/>
              <w14:ligatures w14:val="standardContextual"/>
            </w:rPr>
          </w:pPr>
          <w:hyperlink w:anchor="_Toc231804758" w:history="1">
            <w:r w:rsidRPr="006E4C01">
              <w:rPr>
                <w:rStyle w:val="Hyperlink"/>
                <w:noProof/>
                <w:lang w:val="nl-NL"/>
              </w:rPr>
              <w:t>7.2</w:t>
            </w:r>
            <w:r>
              <w:rPr>
                <w:rFonts w:eastAsiaTheme="minorEastAsia"/>
                <w:noProof/>
                <w:kern w:val="2"/>
                <w:sz w:val="24"/>
                <w:szCs w:val="24"/>
                <w:lang w:val="nl-NL" w:eastAsia="nl-NL"/>
                <w14:ligatures w14:val="standardContextual"/>
              </w:rPr>
              <w:tab/>
            </w:r>
            <w:r w:rsidRPr="006E4C01">
              <w:rPr>
                <w:rStyle w:val="Hyperlink"/>
                <w:noProof/>
                <w:lang w:val="nl-NL"/>
              </w:rPr>
              <w:t>Beleggingen</w:t>
            </w:r>
            <w:r>
              <w:rPr>
                <w:noProof/>
                <w:webHidden/>
              </w:rPr>
              <w:tab/>
            </w:r>
            <w:r>
              <w:rPr>
                <w:noProof/>
                <w:webHidden/>
              </w:rPr>
              <w:fldChar w:fldCharType="begin"/>
            </w:r>
            <w:r>
              <w:rPr>
                <w:noProof/>
                <w:webHidden/>
              </w:rPr>
              <w:instrText xml:space="preserve"> PAGEREF _Toc231804758 \h </w:instrText>
            </w:r>
            <w:r>
              <w:rPr>
                <w:noProof/>
                <w:webHidden/>
              </w:rPr>
            </w:r>
            <w:r>
              <w:rPr>
                <w:noProof/>
                <w:webHidden/>
              </w:rPr>
              <w:fldChar w:fldCharType="separate"/>
            </w:r>
            <w:r>
              <w:rPr>
                <w:noProof/>
                <w:webHidden/>
              </w:rPr>
              <w:t>26</w:t>
            </w:r>
            <w:r>
              <w:rPr>
                <w:noProof/>
                <w:webHidden/>
              </w:rPr>
              <w:fldChar w:fldCharType="end"/>
            </w:r>
          </w:hyperlink>
        </w:p>
        <w:p w14:paraId="22F7A198" w14:textId="48389BA0" w:rsidR="003753EB" w:rsidRDefault="003753EB">
          <w:pPr>
            <w:pStyle w:val="Inhopg2"/>
            <w:tabs>
              <w:tab w:val="left" w:pos="720"/>
              <w:tab w:val="right" w:leader="dot" w:pos="9061"/>
            </w:tabs>
            <w:rPr>
              <w:rFonts w:eastAsiaTheme="minorEastAsia"/>
              <w:noProof/>
              <w:kern w:val="2"/>
              <w:sz w:val="24"/>
              <w:szCs w:val="24"/>
              <w:lang w:val="nl-NL" w:eastAsia="nl-NL"/>
              <w14:ligatures w14:val="standardContextual"/>
            </w:rPr>
          </w:pPr>
          <w:hyperlink w:anchor="_Toc231804759" w:history="1">
            <w:r w:rsidRPr="006E4C01">
              <w:rPr>
                <w:rStyle w:val="Hyperlink"/>
                <w:noProof/>
                <w:lang w:val="nl-NL"/>
              </w:rPr>
              <w:t>7.3</w:t>
            </w:r>
            <w:r>
              <w:rPr>
                <w:rFonts w:eastAsiaTheme="minorEastAsia"/>
                <w:noProof/>
                <w:kern w:val="2"/>
                <w:sz w:val="24"/>
                <w:szCs w:val="24"/>
                <w:lang w:val="nl-NL" w:eastAsia="nl-NL"/>
                <w14:ligatures w14:val="standardContextual"/>
              </w:rPr>
              <w:tab/>
            </w:r>
            <w:r w:rsidRPr="006E4C01">
              <w:rPr>
                <w:rStyle w:val="Hyperlink"/>
                <w:noProof/>
                <w:lang w:val="nl-NL"/>
              </w:rPr>
              <w:t>Reserves</w:t>
            </w:r>
            <w:r>
              <w:rPr>
                <w:noProof/>
                <w:webHidden/>
              </w:rPr>
              <w:tab/>
            </w:r>
            <w:r>
              <w:rPr>
                <w:noProof/>
                <w:webHidden/>
              </w:rPr>
              <w:fldChar w:fldCharType="begin"/>
            </w:r>
            <w:r>
              <w:rPr>
                <w:noProof/>
                <w:webHidden/>
              </w:rPr>
              <w:instrText xml:space="preserve"> PAGEREF _Toc231804759 \h </w:instrText>
            </w:r>
            <w:r>
              <w:rPr>
                <w:noProof/>
                <w:webHidden/>
              </w:rPr>
            </w:r>
            <w:r>
              <w:rPr>
                <w:noProof/>
                <w:webHidden/>
              </w:rPr>
              <w:fldChar w:fldCharType="separate"/>
            </w:r>
            <w:r>
              <w:rPr>
                <w:noProof/>
                <w:webHidden/>
              </w:rPr>
              <w:t>26</w:t>
            </w:r>
            <w:r>
              <w:rPr>
                <w:noProof/>
                <w:webHidden/>
              </w:rPr>
              <w:fldChar w:fldCharType="end"/>
            </w:r>
          </w:hyperlink>
        </w:p>
        <w:p w14:paraId="10FEF9B9" w14:textId="111EA26B" w:rsidR="003753EB" w:rsidRDefault="003753EB">
          <w:pPr>
            <w:pStyle w:val="Inhopg1"/>
            <w:rPr>
              <w:rFonts w:eastAsiaTheme="minorEastAsia"/>
              <w:kern w:val="2"/>
              <w:sz w:val="24"/>
              <w:szCs w:val="24"/>
              <w:lang w:eastAsia="nl-NL"/>
              <w14:ligatures w14:val="standardContextual"/>
            </w:rPr>
          </w:pPr>
          <w:hyperlink w:anchor="_Toc231804760" w:history="1">
            <w:r w:rsidRPr="006E4C01">
              <w:rPr>
                <w:rStyle w:val="Hyperlink"/>
              </w:rPr>
              <w:t>8</w:t>
            </w:r>
            <w:r>
              <w:rPr>
                <w:rFonts w:eastAsiaTheme="minorEastAsia"/>
                <w:kern w:val="2"/>
                <w:sz w:val="24"/>
                <w:szCs w:val="24"/>
                <w:lang w:eastAsia="nl-NL"/>
                <w14:ligatures w14:val="standardContextual"/>
              </w:rPr>
              <w:tab/>
            </w:r>
            <w:r w:rsidRPr="006E4C01">
              <w:rPr>
                <w:rStyle w:val="Hyperlink"/>
              </w:rPr>
              <w:t>Premiebeleid</w:t>
            </w:r>
            <w:r>
              <w:rPr>
                <w:webHidden/>
              </w:rPr>
              <w:tab/>
            </w:r>
            <w:r>
              <w:rPr>
                <w:webHidden/>
              </w:rPr>
              <w:fldChar w:fldCharType="begin"/>
            </w:r>
            <w:r>
              <w:rPr>
                <w:webHidden/>
              </w:rPr>
              <w:instrText xml:space="preserve"> PAGEREF _Toc231804760 \h </w:instrText>
            </w:r>
            <w:r>
              <w:rPr>
                <w:webHidden/>
              </w:rPr>
            </w:r>
            <w:r>
              <w:rPr>
                <w:webHidden/>
              </w:rPr>
              <w:fldChar w:fldCharType="separate"/>
            </w:r>
            <w:r>
              <w:rPr>
                <w:webHidden/>
              </w:rPr>
              <w:t>27</w:t>
            </w:r>
            <w:r>
              <w:rPr>
                <w:webHidden/>
              </w:rPr>
              <w:fldChar w:fldCharType="end"/>
            </w:r>
          </w:hyperlink>
        </w:p>
        <w:p w14:paraId="20BED5D9" w14:textId="23D4D49F" w:rsidR="003753EB" w:rsidRDefault="003753EB">
          <w:pPr>
            <w:pStyle w:val="Inhopg2"/>
            <w:tabs>
              <w:tab w:val="left" w:pos="720"/>
              <w:tab w:val="right" w:leader="dot" w:pos="9061"/>
            </w:tabs>
            <w:rPr>
              <w:rFonts w:eastAsiaTheme="minorEastAsia"/>
              <w:noProof/>
              <w:kern w:val="2"/>
              <w:sz w:val="24"/>
              <w:szCs w:val="24"/>
              <w:lang w:val="nl-NL" w:eastAsia="nl-NL"/>
              <w14:ligatures w14:val="standardContextual"/>
            </w:rPr>
          </w:pPr>
          <w:hyperlink w:anchor="_Toc231804761" w:history="1">
            <w:r w:rsidRPr="006E4C01">
              <w:rPr>
                <w:rStyle w:val="Hyperlink"/>
                <w:noProof/>
                <w:lang w:val="nl-NL"/>
              </w:rPr>
              <w:t>8.1</w:t>
            </w:r>
            <w:r>
              <w:rPr>
                <w:rFonts w:eastAsiaTheme="minorEastAsia"/>
                <w:noProof/>
                <w:kern w:val="2"/>
                <w:sz w:val="24"/>
                <w:szCs w:val="24"/>
                <w:lang w:val="nl-NL" w:eastAsia="nl-NL"/>
                <w14:ligatures w14:val="standardContextual"/>
              </w:rPr>
              <w:tab/>
            </w:r>
            <w:r w:rsidRPr="006E4C01">
              <w:rPr>
                <w:rStyle w:val="Hyperlink"/>
                <w:noProof/>
                <w:lang w:val="nl-NL"/>
              </w:rPr>
              <w:t>Feitelijke premie</w:t>
            </w:r>
            <w:r>
              <w:rPr>
                <w:noProof/>
                <w:webHidden/>
              </w:rPr>
              <w:tab/>
            </w:r>
            <w:r>
              <w:rPr>
                <w:noProof/>
                <w:webHidden/>
              </w:rPr>
              <w:fldChar w:fldCharType="begin"/>
            </w:r>
            <w:r>
              <w:rPr>
                <w:noProof/>
                <w:webHidden/>
              </w:rPr>
              <w:instrText xml:space="preserve"> PAGEREF _Toc231804761 \h </w:instrText>
            </w:r>
            <w:r>
              <w:rPr>
                <w:noProof/>
                <w:webHidden/>
              </w:rPr>
            </w:r>
            <w:r>
              <w:rPr>
                <w:noProof/>
                <w:webHidden/>
              </w:rPr>
              <w:fldChar w:fldCharType="separate"/>
            </w:r>
            <w:r>
              <w:rPr>
                <w:noProof/>
                <w:webHidden/>
              </w:rPr>
              <w:t>27</w:t>
            </w:r>
            <w:r>
              <w:rPr>
                <w:noProof/>
                <w:webHidden/>
              </w:rPr>
              <w:fldChar w:fldCharType="end"/>
            </w:r>
          </w:hyperlink>
        </w:p>
        <w:p w14:paraId="541E9CAE" w14:textId="52BE4C6D" w:rsidR="003753EB" w:rsidRDefault="003753EB">
          <w:pPr>
            <w:pStyle w:val="Inhopg2"/>
            <w:tabs>
              <w:tab w:val="left" w:pos="720"/>
              <w:tab w:val="right" w:leader="dot" w:pos="9061"/>
            </w:tabs>
            <w:rPr>
              <w:rFonts w:eastAsiaTheme="minorEastAsia"/>
              <w:noProof/>
              <w:kern w:val="2"/>
              <w:sz w:val="24"/>
              <w:szCs w:val="24"/>
              <w:lang w:val="nl-NL" w:eastAsia="nl-NL"/>
              <w14:ligatures w14:val="standardContextual"/>
            </w:rPr>
          </w:pPr>
          <w:hyperlink w:anchor="_Toc231804762" w:history="1">
            <w:r w:rsidRPr="006E4C01">
              <w:rPr>
                <w:rStyle w:val="Hyperlink"/>
                <w:noProof/>
                <w:lang w:val="nl-NL"/>
              </w:rPr>
              <w:t>8.2</w:t>
            </w:r>
            <w:r>
              <w:rPr>
                <w:rFonts w:eastAsiaTheme="minorEastAsia"/>
                <w:noProof/>
                <w:kern w:val="2"/>
                <w:sz w:val="24"/>
                <w:szCs w:val="24"/>
                <w:lang w:val="nl-NL" w:eastAsia="nl-NL"/>
                <w14:ligatures w14:val="standardContextual"/>
              </w:rPr>
              <w:tab/>
            </w:r>
            <w:r w:rsidRPr="006E4C01">
              <w:rPr>
                <w:rStyle w:val="Hyperlink"/>
                <w:noProof/>
                <w:lang w:val="nl-NL"/>
              </w:rPr>
              <w:t>Vaststelling kostendekkende premie</w:t>
            </w:r>
            <w:r>
              <w:rPr>
                <w:noProof/>
                <w:webHidden/>
              </w:rPr>
              <w:tab/>
            </w:r>
            <w:r>
              <w:rPr>
                <w:noProof/>
                <w:webHidden/>
              </w:rPr>
              <w:fldChar w:fldCharType="begin"/>
            </w:r>
            <w:r>
              <w:rPr>
                <w:noProof/>
                <w:webHidden/>
              </w:rPr>
              <w:instrText xml:space="preserve"> PAGEREF _Toc231804762 \h </w:instrText>
            </w:r>
            <w:r>
              <w:rPr>
                <w:noProof/>
                <w:webHidden/>
              </w:rPr>
            </w:r>
            <w:r>
              <w:rPr>
                <w:noProof/>
                <w:webHidden/>
              </w:rPr>
              <w:fldChar w:fldCharType="separate"/>
            </w:r>
            <w:r>
              <w:rPr>
                <w:noProof/>
                <w:webHidden/>
              </w:rPr>
              <w:t>27</w:t>
            </w:r>
            <w:r>
              <w:rPr>
                <w:noProof/>
                <w:webHidden/>
              </w:rPr>
              <w:fldChar w:fldCharType="end"/>
            </w:r>
          </w:hyperlink>
        </w:p>
        <w:p w14:paraId="356D978D" w14:textId="733FF8F8" w:rsidR="003753EB" w:rsidRDefault="003753EB">
          <w:pPr>
            <w:pStyle w:val="Inhopg2"/>
            <w:tabs>
              <w:tab w:val="left" w:pos="720"/>
              <w:tab w:val="right" w:leader="dot" w:pos="9061"/>
            </w:tabs>
            <w:rPr>
              <w:rFonts w:eastAsiaTheme="minorEastAsia"/>
              <w:noProof/>
              <w:kern w:val="2"/>
              <w:sz w:val="24"/>
              <w:szCs w:val="24"/>
              <w:lang w:val="nl-NL" w:eastAsia="nl-NL"/>
              <w14:ligatures w14:val="standardContextual"/>
            </w:rPr>
          </w:pPr>
          <w:hyperlink w:anchor="_Toc231804763" w:history="1">
            <w:r w:rsidRPr="006E4C01">
              <w:rPr>
                <w:rStyle w:val="Hyperlink"/>
                <w:noProof/>
                <w:lang w:val="nl-NL"/>
              </w:rPr>
              <w:t>8.3</w:t>
            </w:r>
            <w:r>
              <w:rPr>
                <w:rFonts w:eastAsiaTheme="minorEastAsia"/>
                <w:noProof/>
                <w:kern w:val="2"/>
                <w:sz w:val="24"/>
                <w:szCs w:val="24"/>
                <w:lang w:val="nl-NL" w:eastAsia="nl-NL"/>
                <w14:ligatures w14:val="standardContextual"/>
              </w:rPr>
              <w:tab/>
            </w:r>
            <w:r w:rsidRPr="006E4C01">
              <w:rPr>
                <w:rStyle w:val="Hyperlink"/>
                <w:noProof/>
                <w:lang w:val="nl-NL"/>
              </w:rPr>
              <w:t>Overige bepalingen</w:t>
            </w:r>
            <w:r>
              <w:rPr>
                <w:noProof/>
                <w:webHidden/>
              </w:rPr>
              <w:tab/>
            </w:r>
            <w:r>
              <w:rPr>
                <w:noProof/>
                <w:webHidden/>
              </w:rPr>
              <w:fldChar w:fldCharType="begin"/>
            </w:r>
            <w:r>
              <w:rPr>
                <w:noProof/>
                <w:webHidden/>
              </w:rPr>
              <w:instrText xml:space="preserve"> PAGEREF _Toc231804763 \h </w:instrText>
            </w:r>
            <w:r>
              <w:rPr>
                <w:noProof/>
                <w:webHidden/>
              </w:rPr>
            </w:r>
            <w:r>
              <w:rPr>
                <w:noProof/>
                <w:webHidden/>
              </w:rPr>
              <w:fldChar w:fldCharType="separate"/>
            </w:r>
            <w:r>
              <w:rPr>
                <w:noProof/>
                <w:webHidden/>
              </w:rPr>
              <w:t>29</w:t>
            </w:r>
            <w:r>
              <w:rPr>
                <w:noProof/>
                <w:webHidden/>
              </w:rPr>
              <w:fldChar w:fldCharType="end"/>
            </w:r>
          </w:hyperlink>
        </w:p>
        <w:p w14:paraId="485BDBFB" w14:textId="2BF3A566" w:rsidR="003753EB" w:rsidRDefault="003753EB">
          <w:pPr>
            <w:pStyle w:val="Inhopg1"/>
            <w:rPr>
              <w:rFonts w:eastAsiaTheme="minorEastAsia"/>
              <w:kern w:val="2"/>
              <w:sz w:val="24"/>
              <w:szCs w:val="24"/>
              <w:lang w:eastAsia="nl-NL"/>
              <w14:ligatures w14:val="standardContextual"/>
            </w:rPr>
          </w:pPr>
          <w:hyperlink w:anchor="_Toc231804764" w:history="1">
            <w:r w:rsidRPr="006E4C01">
              <w:rPr>
                <w:rStyle w:val="Hyperlink"/>
              </w:rPr>
              <w:t>9</w:t>
            </w:r>
            <w:r>
              <w:rPr>
                <w:rFonts w:eastAsiaTheme="minorEastAsia"/>
                <w:kern w:val="2"/>
                <w:sz w:val="24"/>
                <w:szCs w:val="24"/>
                <w:lang w:eastAsia="nl-NL"/>
                <w14:ligatures w14:val="standardContextual"/>
              </w:rPr>
              <w:tab/>
            </w:r>
            <w:r w:rsidRPr="006E4C01">
              <w:rPr>
                <w:rStyle w:val="Hyperlink"/>
              </w:rPr>
              <w:t>Financiële sturingsmiddelen</w:t>
            </w:r>
            <w:r>
              <w:rPr>
                <w:webHidden/>
              </w:rPr>
              <w:tab/>
            </w:r>
            <w:r>
              <w:rPr>
                <w:webHidden/>
              </w:rPr>
              <w:fldChar w:fldCharType="begin"/>
            </w:r>
            <w:r>
              <w:rPr>
                <w:webHidden/>
              </w:rPr>
              <w:instrText xml:space="preserve"> PAGEREF _Toc231804764 \h </w:instrText>
            </w:r>
            <w:r>
              <w:rPr>
                <w:webHidden/>
              </w:rPr>
            </w:r>
            <w:r>
              <w:rPr>
                <w:webHidden/>
              </w:rPr>
              <w:fldChar w:fldCharType="separate"/>
            </w:r>
            <w:r>
              <w:rPr>
                <w:webHidden/>
              </w:rPr>
              <w:t>29</w:t>
            </w:r>
            <w:r>
              <w:rPr>
                <w:webHidden/>
              </w:rPr>
              <w:fldChar w:fldCharType="end"/>
            </w:r>
          </w:hyperlink>
        </w:p>
        <w:p w14:paraId="07130B45" w14:textId="1BE23449" w:rsidR="003753EB" w:rsidRDefault="003753EB">
          <w:pPr>
            <w:pStyle w:val="Inhopg2"/>
            <w:tabs>
              <w:tab w:val="left" w:pos="720"/>
              <w:tab w:val="right" w:leader="dot" w:pos="9061"/>
            </w:tabs>
            <w:rPr>
              <w:rFonts w:eastAsiaTheme="minorEastAsia"/>
              <w:noProof/>
              <w:kern w:val="2"/>
              <w:sz w:val="24"/>
              <w:szCs w:val="24"/>
              <w:lang w:val="nl-NL" w:eastAsia="nl-NL"/>
              <w14:ligatures w14:val="standardContextual"/>
            </w:rPr>
          </w:pPr>
          <w:hyperlink w:anchor="_Toc231804765" w:history="1">
            <w:r w:rsidRPr="006E4C01">
              <w:rPr>
                <w:rStyle w:val="Hyperlink"/>
                <w:noProof/>
                <w:lang w:val="nl-NL"/>
              </w:rPr>
              <w:t>9.1</w:t>
            </w:r>
            <w:r>
              <w:rPr>
                <w:rFonts w:eastAsiaTheme="minorEastAsia"/>
                <w:noProof/>
                <w:kern w:val="2"/>
                <w:sz w:val="24"/>
                <w:szCs w:val="24"/>
                <w:lang w:val="nl-NL" w:eastAsia="nl-NL"/>
                <w14:ligatures w14:val="standardContextual"/>
              </w:rPr>
              <w:tab/>
            </w:r>
            <w:r w:rsidRPr="006E4C01">
              <w:rPr>
                <w:rStyle w:val="Hyperlink"/>
                <w:noProof/>
                <w:lang w:val="nl-NL"/>
              </w:rPr>
              <w:t>Risico’s die de onverminderde uitvoering van de regeling bedreigen</w:t>
            </w:r>
            <w:r>
              <w:rPr>
                <w:noProof/>
                <w:webHidden/>
              </w:rPr>
              <w:tab/>
            </w:r>
            <w:r>
              <w:rPr>
                <w:noProof/>
                <w:webHidden/>
              </w:rPr>
              <w:fldChar w:fldCharType="begin"/>
            </w:r>
            <w:r>
              <w:rPr>
                <w:noProof/>
                <w:webHidden/>
              </w:rPr>
              <w:instrText xml:space="preserve"> PAGEREF _Toc231804765 \h </w:instrText>
            </w:r>
            <w:r>
              <w:rPr>
                <w:noProof/>
                <w:webHidden/>
              </w:rPr>
            </w:r>
            <w:r>
              <w:rPr>
                <w:noProof/>
                <w:webHidden/>
              </w:rPr>
              <w:fldChar w:fldCharType="separate"/>
            </w:r>
            <w:r>
              <w:rPr>
                <w:noProof/>
                <w:webHidden/>
              </w:rPr>
              <w:t>29</w:t>
            </w:r>
            <w:r>
              <w:rPr>
                <w:noProof/>
                <w:webHidden/>
              </w:rPr>
              <w:fldChar w:fldCharType="end"/>
            </w:r>
          </w:hyperlink>
        </w:p>
        <w:p w14:paraId="00A41CCE" w14:textId="2741C491" w:rsidR="003753EB" w:rsidRDefault="003753EB">
          <w:pPr>
            <w:pStyle w:val="Inhopg2"/>
            <w:tabs>
              <w:tab w:val="left" w:pos="720"/>
              <w:tab w:val="right" w:leader="dot" w:pos="9061"/>
            </w:tabs>
            <w:rPr>
              <w:rFonts w:eastAsiaTheme="minorEastAsia"/>
              <w:noProof/>
              <w:kern w:val="2"/>
              <w:sz w:val="24"/>
              <w:szCs w:val="24"/>
              <w:lang w:val="nl-NL" w:eastAsia="nl-NL"/>
              <w14:ligatures w14:val="standardContextual"/>
            </w:rPr>
          </w:pPr>
          <w:hyperlink w:anchor="_Toc231804766" w:history="1">
            <w:r w:rsidRPr="006E4C01">
              <w:rPr>
                <w:rStyle w:val="Hyperlink"/>
                <w:noProof/>
                <w:lang w:val="nl-NL"/>
              </w:rPr>
              <w:t>9.2</w:t>
            </w:r>
            <w:r>
              <w:rPr>
                <w:rFonts w:eastAsiaTheme="minorEastAsia"/>
                <w:noProof/>
                <w:kern w:val="2"/>
                <w:sz w:val="24"/>
                <w:szCs w:val="24"/>
                <w:lang w:val="nl-NL" w:eastAsia="nl-NL"/>
                <w14:ligatures w14:val="standardContextual"/>
              </w:rPr>
              <w:tab/>
            </w:r>
            <w:r w:rsidRPr="006E4C01">
              <w:rPr>
                <w:rStyle w:val="Hyperlink"/>
                <w:noProof/>
                <w:lang w:val="nl-NL"/>
              </w:rPr>
              <w:t>Sturingsmiddelen</w:t>
            </w:r>
            <w:r>
              <w:rPr>
                <w:noProof/>
                <w:webHidden/>
              </w:rPr>
              <w:tab/>
            </w:r>
            <w:r>
              <w:rPr>
                <w:noProof/>
                <w:webHidden/>
              </w:rPr>
              <w:fldChar w:fldCharType="begin"/>
            </w:r>
            <w:r>
              <w:rPr>
                <w:noProof/>
                <w:webHidden/>
              </w:rPr>
              <w:instrText xml:space="preserve"> PAGEREF _Toc231804766 \h </w:instrText>
            </w:r>
            <w:r>
              <w:rPr>
                <w:noProof/>
                <w:webHidden/>
              </w:rPr>
            </w:r>
            <w:r>
              <w:rPr>
                <w:noProof/>
                <w:webHidden/>
              </w:rPr>
              <w:fldChar w:fldCharType="separate"/>
            </w:r>
            <w:r>
              <w:rPr>
                <w:noProof/>
                <w:webHidden/>
              </w:rPr>
              <w:t>29</w:t>
            </w:r>
            <w:r>
              <w:rPr>
                <w:noProof/>
                <w:webHidden/>
              </w:rPr>
              <w:fldChar w:fldCharType="end"/>
            </w:r>
          </w:hyperlink>
        </w:p>
        <w:p w14:paraId="32F1A9EF" w14:textId="3383D2B2" w:rsidR="003753EB" w:rsidRDefault="003753EB">
          <w:pPr>
            <w:pStyle w:val="Inhopg3"/>
            <w:tabs>
              <w:tab w:val="left" w:pos="1200"/>
              <w:tab w:val="right" w:leader="dot" w:pos="9061"/>
            </w:tabs>
            <w:rPr>
              <w:rFonts w:eastAsiaTheme="minorEastAsia"/>
              <w:noProof/>
              <w:kern w:val="2"/>
              <w:sz w:val="24"/>
              <w:szCs w:val="24"/>
              <w:lang w:val="nl-NL" w:eastAsia="nl-NL"/>
              <w14:ligatures w14:val="standardContextual"/>
            </w:rPr>
          </w:pPr>
          <w:hyperlink w:anchor="_Toc231804767" w:history="1">
            <w:r w:rsidRPr="006E4C01">
              <w:rPr>
                <w:rStyle w:val="Hyperlink"/>
                <w:noProof/>
                <w:lang w:val="nl-NL"/>
              </w:rPr>
              <w:t>9.2.1</w:t>
            </w:r>
            <w:r>
              <w:rPr>
                <w:rFonts w:eastAsiaTheme="minorEastAsia"/>
                <w:noProof/>
                <w:kern w:val="2"/>
                <w:sz w:val="24"/>
                <w:szCs w:val="24"/>
                <w:lang w:val="nl-NL" w:eastAsia="nl-NL"/>
                <w14:ligatures w14:val="standardContextual"/>
              </w:rPr>
              <w:tab/>
            </w:r>
            <w:r w:rsidRPr="006E4C01">
              <w:rPr>
                <w:rStyle w:val="Hyperlink"/>
                <w:noProof/>
                <w:lang w:val="nl-NL"/>
              </w:rPr>
              <w:t>Premiebeleid</w:t>
            </w:r>
            <w:r>
              <w:rPr>
                <w:noProof/>
                <w:webHidden/>
              </w:rPr>
              <w:tab/>
            </w:r>
            <w:r>
              <w:rPr>
                <w:noProof/>
                <w:webHidden/>
              </w:rPr>
              <w:fldChar w:fldCharType="begin"/>
            </w:r>
            <w:r>
              <w:rPr>
                <w:noProof/>
                <w:webHidden/>
              </w:rPr>
              <w:instrText xml:space="preserve"> PAGEREF _Toc231804767 \h </w:instrText>
            </w:r>
            <w:r>
              <w:rPr>
                <w:noProof/>
                <w:webHidden/>
              </w:rPr>
            </w:r>
            <w:r>
              <w:rPr>
                <w:noProof/>
                <w:webHidden/>
              </w:rPr>
              <w:fldChar w:fldCharType="separate"/>
            </w:r>
            <w:r>
              <w:rPr>
                <w:noProof/>
                <w:webHidden/>
              </w:rPr>
              <w:t>29</w:t>
            </w:r>
            <w:r>
              <w:rPr>
                <w:noProof/>
                <w:webHidden/>
              </w:rPr>
              <w:fldChar w:fldCharType="end"/>
            </w:r>
          </w:hyperlink>
        </w:p>
        <w:p w14:paraId="7C10F7E9" w14:textId="49E0EB6A" w:rsidR="003753EB" w:rsidRDefault="003753EB">
          <w:pPr>
            <w:pStyle w:val="Inhopg3"/>
            <w:tabs>
              <w:tab w:val="left" w:pos="1200"/>
              <w:tab w:val="right" w:leader="dot" w:pos="9061"/>
            </w:tabs>
            <w:rPr>
              <w:rFonts w:eastAsiaTheme="minorEastAsia"/>
              <w:noProof/>
              <w:kern w:val="2"/>
              <w:sz w:val="24"/>
              <w:szCs w:val="24"/>
              <w:lang w:val="nl-NL" w:eastAsia="nl-NL"/>
              <w14:ligatures w14:val="standardContextual"/>
            </w:rPr>
          </w:pPr>
          <w:hyperlink w:anchor="_Toc231804768" w:history="1">
            <w:r w:rsidRPr="006E4C01">
              <w:rPr>
                <w:rStyle w:val="Hyperlink"/>
                <w:noProof/>
                <w:lang w:val="nl-NL"/>
              </w:rPr>
              <w:t>9.2.2</w:t>
            </w:r>
            <w:r>
              <w:rPr>
                <w:rFonts w:eastAsiaTheme="minorEastAsia"/>
                <w:noProof/>
                <w:kern w:val="2"/>
                <w:sz w:val="24"/>
                <w:szCs w:val="24"/>
                <w:lang w:val="nl-NL" w:eastAsia="nl-NL"/>
                <w14:ligatures w14:val="standardContextual"/>
              </w:rPr>
              <w:tab/>
            </w:r>
            <w:r w:rsidRPr="006E4C01">
              <w:rPr>
                <w:rStyle w:val="Hyperlink"/>
                <w:noProof/>
                <w:lang w:val="nl-NL"/>
              </w:rPr>
              <w:t>Toeslagbeleid</w:t>
            </w:r>
            <w:r>
              <w:rPr>
                <w:noProof/>
                <w:webHidden/>
              </w:rPr>
              <w:tab/>
            </w:r>
            <w:r>
              <w:rPr>
                <w:noProof/>
                <w:webHidden/>
              </w:rPr>
              <w:fldChar w:fldCharType="begin"/>
            </w:r>
            <w:r>
              <w:rPr>
                <w:noProof/>
                <w:webHidden/>
              </w:rPr>
              <w:instrText xml:space="preserve"> PAGEREF _Toc231804768 \h </w:instrText>
            </w:r>
            <w:r>
              <w:rPr>
                <w:noProof/>
                <w:webHidden/>
              </w:rPr>
            </w:r>
            <w:r>
              <w:rPr>
                <w:noProof/>
                <w:webHidden/>
              </w:rPr>
              <w:fldChar w:fldCharType="separate"/>
            </w:r>
            <w:r>
              <w:rPr>
                <w:noProof/>
                <w:webHidden/>
              </w:rPr>
              <w:t>30</w:t>
            </w:r>
            <w:r>
              <w:rPr>
                <w:noProof/>
                <w:webHidden/>
              </w:rPr>
              <w:fldChar w:fldCharType="end"/>
            </w:r>
          </w:hyperlink>
        </w:p>
        <w:p w14:paraId="320392EE" w14:textId="1B1A078F" w:rsidR="003753EB" w:rsidRDefault="003753EB">
          <w:pPr>
            <w:pStyle w:val="Inhopg3"/>
            <w:tabs>
              <w:tab w:val="left" w:pos="1200"/>
              <w:tab w:val="right" w:leader="dot" w:pos="9061"/>
            </w:tabs>
            <w:rPr>
              <w:rFonts w:eastAsiaTheme="minorEastAsia"/>
              <w:noProof/>
              <w:kern w:val="2"/>
              <w:sz w:val="24"/>
              <w:szCs w:val="24"/>
              <w:lang w:val="nl-NL" w:eastAsia="nl-NL"/>
              <w14:ligatures w14:val="standardContextual"/>
            </w:rPr>
          </w:pPr>
          <w:hyperlink w:anchor="_Toc231804769" w:history="1">
            <w:r w:rsidRPr="006E4C01">
              <w:rPr>
                <w:rStyle w:val="Hyperlink"/>
                <w:noProof/>
                <w:lang w:val="nl-NL"/>
              </w:rPr>
              <w:t>9.2.3</w:t>
            </w:r>
            <w:r>
              <w:rPr>
                <w:rFonts w:eastAsiaTheme="minorEastAsia"/>
                <w:noProof/>
                <w:kern w:val="2"/>
                <w:sz w:val="24"/>
                <w:szCs w:val="24"/>
                <w:lang w:val="nl-NL" w:eastAsia="nl-NL"/>
                <w14:ligatures w14:val="standardContextual"/>
              </w:rPr>
              <w:tab/>
            </w:r>
            <w:r w:rsidRPr="006E4C01">
              <w:rPr>
                <w:rStyle w:val="Hyperlink"/>
                <w:noProof/>
                <w:lang w:val="nl-NL"/>
              </w:rPr>
              <w:t>Beleggingsbeleid</w:t>
            </w:r>
            <w:r>
              <w:rPr>
                <w:noProof/>
                <w:webHidden/>
              </w:rPr>
              <w:tab/>
            </w:r>
            <w:r>
              <w:rPr>
                <w:noProof/>
                <w:webHidden/>
              </w:rPr>
              <w:fldChar w:fldCharType="begin"/>
            </w:r>
            <w:r>
              <w:rPr>
                <w:noProof/>
                <w:webHidden/>
              </w:rPr>
              <w:instrText xml:space="preserve"> PAGEREF _Toc231804769 \h </w:instrText>
            </w:r>
            <w:r>
              <w:rPr>
                <w:noProof/>
                <w:webHidden/>
              </w:rPr>
            </w:r>
            <w:r>
              <w:rPr>
                <w:noProof/>
                <w:webHidden/>
              </w:rPr>
              <w:fldChar w:fldCharType="separate"/>
            </w:r>
            <w:r>
              <w:rPr>
                <w:noProof/>
                <w:webHidden/>
              </w:rPr>
              <w:t>31</w:t>
            </w:r>
            <w:r>
              <w:rPr>
                <w:noProof/>
                <w:webHidden/>
              </w:rPr>
              <w:fldChar w:fldCharType="end"/>
            </w:r>
          </w:hyperlink>
        </w:p>
        <w:p w14:paraId="4E287845" w14:textId="43423262" w:rsidR="003753EB" w:rsidRDefault="003753EB">
          <w:pPr>
            <w:pStyle w:val="Inhopg3"/>
            <w:tabs>
              <w:tab w:val="left" w:pos="1200"/>
              <w:tab w:val="right" w:leader="dot" w:pos="9061"/>
            </w:tabs>
            <w:rPr>
              <w:rFonts w:eastAsiaTheme="minorEastAsia"/>
              <w:noProof/>
              <w:kern w:val="2"/>
              <w:sz w:val="24"/>
              <w:szCs w:val="24"/>
              <w:lang w:val="nl-NL" w:eastAsia="nl-NL"/>
              <w14:ligatures w14:val="standardContextual"/>
            </w:rPr>
          </w:pPr>
          <w:hyperlink w:anchor="_Toc231804770" w:history="1">
            <w:r w:rsidRPr="006E4C01">
              <w:rPr>
                <w:rStyle w:val="Hyperlink"/>
                <w:noProof/>
                <w:lang w:val="nl-NL"/>
              </w:rPr>
              <w:t>9.2.4</w:t>
            </w:r>
            <w:r>
              <w:rPr>
                <w:rFonts w:eastAsiaTheme="minorEastAsia"/>
                <w:noProof/>
                <w:kern w:val="2"/>
                <w:sz w:val="24"/>
                <w:szCs w:val="24"/>
                <w:lang w:val="nl-NL" w:eastAsia="nl-NL"/>
                <w14:ligatures w14:val="standardContextual"/>
              </w:rPr>
              <w:tab/>
            </w:r>
            <w:r w:rsidRPr="006E4C01">
              <w:rPr>
                <w:rStyle w:val="Hyperlink"/>
                <w:noProof/>
                <w:lang w:val="nl-NL"/>
              </w:rPr>
              <w:t>Kortingsbeleid</w:t>
            </w:r>
            <w:r>
              <w:rPr>
                <w:noProof/>
                <w:webHidden/>
              </w:rPr>
              <w:tab/>
            </w:r>
            <w:r>
              <w:rPr>
                <w:noProof/>
                <w:webHidden/>
              </w:rPr>
              <w:fldChar w:fldCharType="begin"/>
            </w:r>
            <w:r>
              <w:rPr>
                <w:noProof/>
                <w:webHidden/>
              </w:rPr>
              <w:instrText xml:space="preserve"> PAGEREF _Toc231804770 \h </w:instrText>
            </w:r>
            <w:r>
              <w:rPr>
                <w:noProof/>
                <w:webHidden/>
              </w:rPr>
            </w:r>
            <w:r>
              <w:rPr>
                <w:noProof/>
                <w:webHidden/>
              </w:rPr>
              <w:fldChar w:fldCharType="separate"/>
            </w:r>
            <w:r>
              <w:rPr>
                <w:noProof/>
                <w:webHidden/>
              </w:rPr>
              <w:t>31</w:t>
            </w:r>
            <w:r>
              <w:rPr>
                <w:noProof/>
                <w:webHidden/>
              </w:rPr>
              <w:fldChar w:fldCharType="end"/>
            </w:r>
          </w:hyperlink>
        </w:p>
        <w:p w14:paraId="019AD7AC" w14:textId="088B2E61" w:rsidR="003753EB" w:rsidRDefault="003753EB">
          <w:pPr>
            <w:pStyle w:val="Inhopg2"/>
            <w:tabs>
              <w:tab w:val="left" w:pos="720"/>
              <w:tab w:val="right" w:leader="dot" w:pos="9061"/>
            </w:tabs>
            <w:rPr>
              <w:rFonts w:eastAsiaTheme="minorEastAsia"/>
              <w:noProof/>
              <w:kern w:val="2"/>
              <w:sz w:val="24"/>
              <w:szCs w:val="24"/>
              <w:lang w:val="nl-NL" w:eastAsia="nl-NL"/>
              <w14:ligatures w14:val="standardContextual"/>
            </w:rPr>
          </w:pPr>
          <w:hyperlink w:anchor="_Toc231804771" w:history="1">
            <w:r w:rsidRPr="006E4C01">
              <w:rPr>
                <w:rStyle w:val="Hyperlink"/>
                <w:noProof/>
                <w:lang w:val="nl-NL"/>
              </w:rPr>
              <w:t>9.3</w:t>
            </w:r>
            <w:r>
              <w:rPr>
                <w:rFonts w:eastAsiaTheme="minorEastAsia"/>
                <w:noProof/>
                <w:kern w:val="2"/>
                <w:sz w:val="24"/>
                <w:szCs w:val="24"/>
                <w:lang w:val="nl-NL" w:eastAsia="nl-NL"/>
                <w14:ligatures w14:val="standardContextual"/>
              </w:rPr>
              <w:tab/>
            </w:r>
            <w:r w:rsidRPr="006E4C01">
              <w:rPr>
                <w:rStyle w:val="Hyperlink"/>
                <w:noProof/>
                <w:lang w:val="nl-NL"/>
              </w:rPr>
              <w:t>Periodieke toetsing</w:t>
            </w:r>
            <w:r>
              <w:rPr>
                <w:noProof/>
                <w:webHidden/>
              </w:rPr>
              <w:tab/>
            </w:r>
            <w:r>
              <w:rPr>
                <w:noProof/>
                <w:webHidden/>
              </w:rPr>
              <w:fldChar w:fldCharType="begin"/>
            </w:r>
            <w:r>
              <w:rPr>
                <w:noProof/>
                <w:webHidden/>
              </w:rPr>
              <w:instrText xml:space="preserve"> PAGEREF _Toc231804771 \h </w:instrText>
            </w:r>
            <w:r>
              <w:rPr>
                <w:noProof/>
                <w:webHidden/>
              </w:rPr>
            </w:r>
            <w:r>
              <w:rPr>
                <w:noProof/>
                <w:webHidden/>
              </w:rPr>
              <w:fldChar w:fldCharType="separate"/>
            </w:r>
            <w:r>
              <w:rPr>
                <w:noProof/>
                <w:webHidden/>
              </w:rPr>
              <w:t>33</w:t>
            </w:r>
            <w:r>
              <w:rPr>
                <w:noProof/>
                <w:webHidden/>
              </w:rPr>
              <w:fldChar w:fldCharType="end"/>
            </w:r>
          </w:hyperlink>
        </w:p>
        <w:p w14:paraId="2C50847A" w14:textId="46D06C8D" w:rsidR="003753EB" w:rsidRDefault="003753EB">
          <w:pPr>
            <w:pStyle w:val="Inhopg1"/>
            <w:rPr>
              <w:rFonts w:eastAsiaTheme="minorEastAsia"/>
              <w:kern w:val="2"/>
              <w:sz w:val="24"/>
              <w:szCs w:val="24"/>
              <w:lang w:eastAsia="nl-NL"/>
              <w14:ligatures w14:val="standardContextual"/>
            </w:rPr>
          </w:pPr>
          <w:hyperlink w:anchor="_Toc231804772" w:history="1">
            <w:r w:rsidRPr="006E4C01">
              <w:rPr>
                <w:rStyle w:val="Hyperlink"/>
              </w:rPr>
              <w:t>10</w:t>
            </w:r>
            <w:r>
              <w:rPr>
                <w:rFonts w:eastAsiaTheme="minorEastAsia"/>
                <w:kern w:val="2"/>
                <w:sz w:val="24"/>
                <w:szCs w:val="24"/>
                <w:lang w:eastAsia="nl-NL"/>
                <w14:ligatures w14:val="standardContextual"/>
              </w:rPr>
              <w:tab/>
            </w:r>
            <w:r w:rsidRPr="006E4C01">
              <w:rPr>
                <w:rStyle w:val="Hyperlink"/>
              </w:rPr>
              <w:t>Beleggingsbeleid en risicobeleid</w:t>
            </w:r>
            <w:r>
              <w:rPr>
                <w:webHidden/>
              </w:rPr>
              <w:tab/>
            </w:r>
            <w:r>
              <w:rPr>
                <w:webHidden/>
              </w:rPr>
              <w:fldChar w:fldCharType="begin"/>
            </w:r>
            <w:r>
              <w:rPr>
                <w:webHidden/>
              </w:rPr>
              <w:instrText xml:space="preserve"> PAGEREF _Toc231804772 \h </w:instrText>
            </w:r>
            <w:r>
              <w:rPr>
                <w:webHidden/>
              </w:rPr>
            </w:r>
            <w:r>
              <w:rPr>
                <w:webHidden/>
              </w:rPr>
              <w:fldChar w:fldCharType="separate"/>
            </w:r>
            <w:r>
              <w:rPr>
                <w:webHidden/>
              </w:rPr>
              <w:t>34</w:t>
            </w:r>
            <w:r>
              <w:rPr>
                <w:webHidden/>
              </w:rPr>
              <w:fldChar w:fldCharType="end"/>
            </w:r>
          </w:hyperlink>
        </w:p>
        <w:p w14:paraId="27F70F7E" w14:textId="0CF94A49" w:rsidR="003753EB" w:rsidRDefault="003753EB">
          <w:pPr>
            <w:pStyle w:val="Inhopg2"/>
            <w:tabs>
              <w:tab w:val="left" w:pos="960"/>
              <w:tab w:val="right" w:leader="dot" w:pos="9061"/>
            </w:tabs>
            <w:rPr>
              <w:rFonts w:eastAsiaTheme="minorEastAsia"/>
              <w:noProof/>
              <w:kern w:val="2"/>
              <w:sz w:val="24"/>
              <w:szCs w:val="24"/>
              <w:lang w:val="nl-NL" w:eastAsia="nl-NL"/>
              <w14:ligatures w14:val="standardContextual"/>
            </w:rPr>
          </w:pPr>
          <w:hyperlink w:anchor="_Toc231804773" w:history="1">
            <w:r w:rsidRPr="006E4C01">
              <w:rPr>
                <w:rStyle w:val="Hyperlink"/>
                <w:noProof/>
                <w:lang w:val="nl-NL"/>
              </w:rPr>
              <w:t>10.1</w:t>
            </w:r>
            <w:r>
              <w:rPr>
                <w:rFonts w:eastAsiaTheme="minorEastAsia"/>
                <w:noProof/>
                <w:kern w:val="2"/>
                <w:sz w:val="24"/>
                <w:szCs w:val="24"/>
                <w:lang w:val="nl-NL" w:eastAsia="nl-NL"/>
                <w14:ligatures w14:val="standardContextual"/>
              </w:rPr>
              <w:tab/>
            </w:r>
            <w:r w:rsidRPr="006E4C01">
              <w:rPr>
                <w:rStyle w:val="Hyperlink"/>
                <w:noProof/>
                <w:lang w:val="nl-NL"/>
              </w:rPr>
              <w:t>Doelstelling van het fonds en beleggingsbeleid</w:t>
            </w:r>
            <w:r>
              <w:rPr>
                <w:noProof/>
                <w:webHidden/>
              </w:rPr>
              <w:tab/>
            </w:r>
            <w:r>
              <w:rPr>
                <w:noProof/>
                <w:webHidden/>
              </w:rPr>
              <w:fldChar w:fldCharType="begin"/>
            </w:r>
            <w:r>
              <w:rPr>
                <w:noProof/>
                <w:webHidden/>
              </w:rPr>
              <w:instrText xml:space="preserve"> PAGEREF _Toc231804773 \h </w:instrText>
            </w:r>
            <w:r>
              <w:rPr>
                <w:noProof/>
                <w:webHidden/>
              </w:rPr>
            </w:r>
            <w:r>
              <w:rPr>
                <w:noProof/>
                <w:webHidden/>
              </w:rPr>
              <w:fldChar w:fldCharType="separate"/>
            </w:r>
            <w:r>
              <w:rPr>
                <w:noProof/>
                <w:webHidden/>
              </w:rPr>
              <w:t>34</w:t>
            </w:r>
            <w:r>
              <w:rPr>
                <w:noProof/>
                <w:webHidden/>
              </w:rPr>
              <w:fldChar w:fldCharType="end"/>
            </w:r>
          </w:hyperlink>
        </w:p>
        <w:p w14:paraId="4C1A2B94" w14:textId="64EE299A" w:rsidR="003753EB" w:rsidRDefault="003753EB">
          <w:pPr>
            <w:pStyle w:val="Inhopg2"/>
            <w:tabs>
              <w:tab w:val="left" w:pos="960"/>
              <w:tab w:val="right" w:leader="dot" w:pos="9061"/>
            </w:tabs>
            <w:rPr>
              <w:rFonts w:eastAsiaTheme="minorEastAsia"/>
              <w:noProof/>
              <w:kern w:val="2"/>
              <w:sz w:val="24"/>
              <w:szCs w:val="24"/>
              <w:lang w:val="nl-NL" w:eastAsia="nl-NL"/>
              <w14:ligatures w14:val="standardContextual"/>
            </w:rPr>
          </w:pPr>
          <w:hyperlink w:anchor="_Toc231804774" w:history="1">
            <w:r w:rsidRPr="006E4C01">
              <w:rPr>
                <w:rStyle w:val="Hyperlink"/>
                <w:noProof/>
                <w:lang w:val="nl-NL"/>
              </w:rPr>
              <w:t>10.2</w:t>
            </w:r>
            <w:r>
              <w:rPr>
                <w:rFonts w:eastAsiaTheme="minorEastAsia"/>
                <w:noProof/>
                <w:kern w:val="2"/>
                <w:sz w:val="24"/>
                <w:szCs w:val="24"/>
                <w:lang w:val="nl-NL" w:eastAsia="nl-NL"/>
                <w14:ligatures w14:val="standardContextual"/>
              </w:rPr>
              <w:tab/>
            </w:r>
            <w:r w:rsidRPr="006E4C01">
              <w:rPr>
                <w:rStyle w:val="Hyperlink"/>
                <w:noProof/>
                <w:lang w:val="nl-NL"/>
              </w:rPr>
              <w:t>Het strategische beleggingsbeleid en het ingroeipad</w:t>
            </w:r>
            <w:r>
              <w:rPr>
                <w:noProof/>
                <w:webHidden/>
              </w:rPr>
              <w:tab/>
            </w:r>
            <w:r>
              <w:rPr>
                <w:noProof/>
                <w:webHidden/>
              </w:rPr>
              <w:fldChar w:fldCharType="begin"/>
            </w:r>
            <w:r>
              <w:rPr>
                <w:noProof/>
                <w:webHidden/>
              </w:rPr>
              <w:instrText xml:space="preserve"> PAGEREF _Toc231804774 \h </w:instrText>
            </w:r>
            <w:r>
              <w:rPr>
                <w:noProof/>
                <w:webHidden/>
              </w:rPr>
            </w:r>
            <w:r>
              <w:rPr>
                <w:noProof/>
                <w:webHidden/>
              </w:rPr>
              <w:fldChar w:fldCharType="separate"/>
            </w:r>
            <w:r>
              <w:rPr>
                <w:noProof/>
                <w:webHidden/>
              </w:rPr>
              <w:t>34</w:t>
            </w:r>
            <w:r>
              <w:rPr>
                <w:noProof/>
                <w:webHidden/>
              </w:rPr>
              <w:fldChar w:fldCharType="end"/>
            </w:r>
          </w:hyperlink>
        </w:p>
        <w:p w14:paraId="2306A3F2" w14:textId="79AB9807" w:rsidR="003753EB" w:rsidRDefault="003753EB">
          <w:pPr>
            <w:pStyle w:val="Inhopg2"/>
            <w:tabs>
              <w:tab w:val="left" w:pos="960"/>
              <w:tab w:val="right" w:leader="dot" w:pos="9061"/>
            </w:tabs>
            <w:rPr>
              <w:rFonts w:eastAsiaTheme="minorEastAsia"/>
              <w:noProof/>
              <w:kern w:val="2"/>
              <w:sz w:val="24"/>
              <w:szCs w:val="24"/>
              <w:lang w:val="nl-NL" w:eastAsia="nl-NL"/>
              <w14:ligatures w14:val="standardContextual"/>
            </w:rPr>
          </w:pPr>
          <w:hyperlink w:anchor="_Toc231804775" w:history="1">
            <w:r w:rsidRPr="006E4C01">
              <w:rPr>
                <w:rStyle w:val="Hyperlink"/>
                <w:noProof/>
                <w:lang w:val="nl-NL"/>
              </w:rPr>
              <w:t>10.3</w:t>
            </w:r>
            <w:r>
              <w:rPr>
                <w:rFonts w:eastAsiaTheme="minorEastAsia"/>
                <w:noProof/>
                <w:kern w:val="2"/>
                <w:sz w:val="24"/>
                <w:szCs w:val="24"/>
                <w:lang w:val="nl-NL" w:eastAsia="nl-NL"/>
                <w14:ligatures w14:val="standardContextual"/>
              </w:rPr>
              <w:tab/>
            </w:r>
            <w:r w:rsidRPr="006E4C01">
              <w:rPr>
                <w:rStyle w:val="Hyperlink"/>
                <w:noProof/>
                <w:lang w:val="nl-NL"/>
              </w:rPr>
              <w:t>Matching portefeuille</w:t>
            </w:r>
            <w:r>
              <w:rPr>
                <w:noProof/>
                <w:webHidden/>
              </w:rPr>
              <w:tab/>
            </w:r>
            <w:r>
              <w:rPr>
                <w:noProof/>
                <w:webHidden/>
              </w:rPr>
              <w:fldChar w:fldCharType="begin"/>
            </w:r>
            <w:r>
              <w:rPr>
                <w:noProof/>
                <w:webHidden/>
              </w:rPr>
              <w:instrText xml:space="preserve"> PAGEREF _Toc231804775 \h </w:instrText>
            </w:r>
            <w:r>
              <w:rPr>
                <w:noProof/>
                <w:webHidden/>
              </w:rPr>
            </w:r>
            <w:r>
              <w:rPr>
                <w:noProof/>
                <w:webHidden/>
              </w:rPr>
              <w:fldChar w:fldCharType="separate"/>
            </w:r>
            <w:r>
              <w:rPr>
                <w:noProof/>
                <w:webHidden/>
              </w:rPr>
              <w:t>36</w:t>
            </w:r>
            <w:r>
              <w:rPr>
                <w:noProof/>
                <w:webHidden/>
              </w:rPr>
              <w:fldChar w:fldCharType="end"/>
            </w:r>
          </w:hyperlink>
        </w:p>
        <w:p w14:paraId="50CC4E89" w14:textId="252357F2" w:rsidR="003753EB" w:rsidRDefault="003753EB">
          <w:pPr>
            <w:pStyle w:val="Inhopg2"/>
            <w:tabs>
              <w:tab w:val="left" w:pos="960"/>
              <w:tab w:val="right" w:leader="dot" w:pos="9061"/>
            </w:tabs>
            <w:rPr>
              <w:rFonts w:eastAsiaTheme="minorEastAsia"/>
              <w:noProof/>
              <w:kern w:val="2"/>
              <w:sz w:val="24"/>
              <w:szCs w:val="24"/>
              <w:lang w:val="nl-NL" w:eastAsia="nl-NL"/>
              <w14:ligatures w14:val="standardContextual"/>
            </w:rPr>
          </w:pPr>
          <w:hyperlink w:anchor="_Toc231804776" w:history="1">
            <w:r w:rsidRPr="006E4C01">
              <w:rPr>
                <w:rStyle w:val="Hyperlink"/>
                <w:noProof/>
                <w:lang w:val="nl-NL"/>
              </w:rPr>
              <w:t>10.4</w:t>
            </w:r>
            <w:r>
              <w:rPr>
                <w:rFonts w:eastAsiaTheme="minorEastAsia"/>
                <w:noProof/>
                <w:kern w:val="2"/>
                <w:sz w:val="24"/>
                <w:szCs w:val="24"/>
                <w:lang w:val="nl-NL" w:eastAsia="nl-NL"/>
                <w14:ligatures w14:val="standardContextual"/>
              </w:rPr>
              <w:tab/>
            </w:r>
            <w:r w:rsidRPr="006E4C01">
              <w:rPr>
                <w:rStyle w:val="Hyperlink"/>
                <w:noProof/>
                <w:lang w:val="nl-NL"/>
              </w:rPr>
              <w:t>Return portefeuille</w:t>
            </w:r>
            <w:r>
              <w:rPr>
                <w:noProof/>
                <w:webHidden/>
              </w:rPr>
              <w:tab/>
            </w:r>
            <w:r>
              <w:rPr>
                <w:noProof/>
                <w:webHidden/>
              </w:rPr>
              <w:fldChar w:fldCharType="begin"/>
            </w:r>
            <w:r>
              <w:rPr>
                <w:noProof/>
                <w:webHidden/>
              </w:rPr>
              <w:instrText xml:space="preserve"> PAGEREF _Toc231804776 \h </w:instrText>
            </w:r>
            <w:r>
              <w:rPr>
                <w:noProof/>
                <w:webHidden/>
              </w:rPr>
            </w:r>
            <w:r>
              <w:rPr>
                <w:noProof/>
                <w:webHidden/>
              </w:rPr>
              <w:fldChar w:fldCharType="separate"/>
            </w:r>
            <w:r>
              <w:rPr>
                <w:noProof/>
                <w:webHidden/>
              </w:rPr>
              <w:t>37</w:t>
            </w:r>
            <w:r>
              <w:rPr>
                <w:noProof/>
                <w:webHidden/>
              </w:rPr>
              <w:fldChar w:fldCharType="end"/>
            </w:r>
          </w:hyperlink>
        </w:p>
        <w:p w14:paraId="48EDAC85" w14:textId="6AC329E7" w:rsidR="003753EB" w:rsidRDefault="003753EB">
          <w:pPr>
            <w:pStyle w:val="Inhopg2"/>
            <w:tabs>
              <w:tab w:val="left" w:pos="960"/>
              <w:tab w:val="right" w:leader="dot" w:pos="9061"/>
            </w:tabs>
            <w:rPr>
              <w:rFonts w:eastAsiaTheme="minorEastAsia"/>
              <w:noProof/>
              <w:kern w:val="2"/>
              <w:sz w:val="24"/>
              <w:szCs w:val="24"/>
              <w:lang w:val="nl-NL" w:eastAsia="nl-NL"/>
              <w14:ligatures w14:val="standardContextual"/>
            </w:rPr>
          </w:pPr>
          <w:hyperlink w:anchor="_Toc231804777" w:history="1">
            <w:r w:rsidRPr="006E4C01">
              <w:rPr>
                <w:rStyle w:val="Hyperlink"/>
                <w:noProof/>
                <w:lang w:val="nl-NL"/>
              </w:rPr>
              <w:t>10.5</w:t>
            </w:r>
            <w:r>
              <w:rPr>
                <w:rFonts w:eastAsiaTheme="minorEastAsia"/>
                <w:noProof/>
                <w:kern w:val="2"/>
                <w:sz w:val="24"/>
                <w:szCs w:val="24"/>
                <w:lang w:val="nl-NL" w:eastAsia="nl-NL"/>
                <w14:ligatures w14:val="standardContextual"/>
              </w:rPr>
              <w:tab/>
            </w:r>
            <w:r w:rsidRPr="006E4C01">
              <w:rPr>
                <w:rStyle w:val="Hyperlink"/>
                <w:noProof/>
                <w:lang w:val="nl-NL"/>
              </w:rPr>
              <w:t>Risiconorm</w:t>
            </w:r>
            <w:r>
              <w:rPr>
                <w:noProof/>
                <w:webHidden/>
              </w:rPr>
              <w:tab/>
            </w:r>
            <w:r>
              <w:rPr>
                <w:noProof/>
                <w:webHidden/>
              </w:rPr>
              <w:fldChar w:fldCharType="begin"/>
            </w:r>
            <w:r>
              <w:rPr>
                <w:noProof/>
                <w:webHidden/>
              </w:rPr>
              <w:instrText xml:space="preserve"> PAGEREF _Toc231804777 \h </w:instrText>
            </w:r>
            <w:r>
              <w:rPr>
                <w:noProof/>
                <w:webHidden/>
              </w:rPr>
            </w:r>
            <w:r>
              <w:rPr>
                <w:noProof/>
                <w:webHidden/>
              </w:rPr>
              <w:fldChar w:fldCharType="separate"/>
            </w:r>
            <w:r>
              <w:rPr>
                <w:noProof/>
                <w:webHidden/>
              </w:rPr>
              <w:t>39</w:t>
            </w:r>
            <w:r>
              <w:rPr>
                <w:noProof/>
                <w:webHidden/>
              </w:rPr>
              <w:fldChar w:fldCharType="end"/>
            </w:r>
          </w:hyperlink>
        </w:p>
        <w:p w14:paraId="6100407B" w14:textId="082D5DA9" w:rsidR="003753EB" w:rsidRDefault="003753EB">
          <w:pPr>
            <w:pStyle w:val="Inhopg2"/>
            <w:tabs>
              <w:tab w:val="left" w:pos="960"/>
              <w:tab w:val="right" w:leader="dot" w:pos="9061"/>
            </w:tabs>
            <w:rPr>
              <w:rFonts w:eastAsiaTheme="minorEastAsia"/>
              <w:noProof/>
              <w:kern w:val="2"/>
              <w:sz w:val="24"/>
              <w:szCs w:val="24"/>
              <w:lang w:val="nl-NL" w:eastAsia="nl-NL"/>
              <w14:ligatures w14:val="standardContextual"/>
            </w:rPr>
          </w:pPr>
          <w:hyperlink w:anchor="_Toc231804778" w:history="1">
            <w:r w:rsidRPr="006E4C01">
              <w:rPr>
                <w:rStyle w:val="Hyperlink"/>
                <w:noProof/>
                <w:lang w:val="nl-NL"/>
              </w:rPr>
              <w:t>10.6</w:t>
            </w:r>
            <w:r>
              <w:rPr>
                <w:rFonts w:eastAsiaTheme="minorEastAsia"/>
                <w:noProof/>
                <w:kern w:val="2"/>
                <w:sz w:val="24"/>
                <w:szCs w:val="24"/>
                <w:lang w:val="nl-NL" w:eastAsia="nl-NL"/>
                <w14:ligatures w14:val="standardContextual"/>
              </w:rPr>
              <w:tab/>
            </w:r>
            <w:r w:rsidRPr="006E4C01">
              <w:rPr>
                <w:rStyle w:val="Hyperlink"/>
                <w:noProof/>
                <w:lang w:val="nl-NL"/>
              </w:rPr>
              <w:t>Risicobeheersingsmaatregelen</w:t>
            </w:r>
            <w:r>
              <w:rPr>
                <w:noProof/>
                <w:webHidden/>
              </w:rPr>
              <w:tab/>
            </w:r>
            <w:r>
              <w:rPr>
                <w:noProof/>
                <w:webHidden/>
              </w:rPr>
              <w:fldChar w:fldCharType="begin"/>
            </w:r>
            <w:r>
              <w:rPr>
                <w:noProof/>
                <w:webHidden/>
              </w:rPr>
              <w:instrText xml:space="preserve"> PAGEREF _Toc231804778 \h </w:instrText>
            </w:r>
            <w:r>
              <w:rPr>
                <w:noProof/>
                <w:webHidden/>
              </w:rPr>
            </w:r>
            <w:r>
              <w:rPr>
                <w:noProof/>
                <w:webHidden/>
              </w:rPr>
              <w:fldChar w:fldCharType="separate"/>
            </w:r>
            <w:r>
              <w:rPr>
                <w:noProof/>
                <w:webHidden/>
              </w:rPr>
              <w:t>39</w:t>
            </w:r>
            <w:r>
              <w:rPr>
                <w:noProof/>
                <w:webHidden/>
              </w:rPr>
              <w:fldChar w:fldCharType="end"/>
            </w:r>
          </w:hyperlink>
        </w:p>
        <w:p w14:paraId="61B6AA8A" w14:textId="67046862" w:rsidR="003753EB" w:rsidRDefault="003753EB">
          <w:pPr>
            <w:pStyle w:val="Inhopg3"/>
            <w:tabs>
              <w:tab w:val="left" w:pos="1200"/>
              <w:tab w:val="right" w:leader="dot" w:pos="9061"/>
            </w:tabs>
            <w:rPr>
              <w:rFonts w:eastAsiaTheme="minorEastAsia"/>
              <w:noProof/>
              <w:kern w:val="2"/>
              <w:sz w:val="24"/>
              <w:szCs w:val="24"/>
              <w:lang w:val="nl-NL" w:eastAsia="nl-NL"/>
              <w14:ligatures w14:val="standardContextual"/>
            </w:rPr>
          </w:pPr>
          <w:hyperlink w:anchor="_Toc231804779" w:history="1">
            <w:r w:rsidRPr="006E4C01">
              <w:rPr>
                <w:rStyle w:val="Hyperlink"/>
                <w:noProof/>
                <w:lang w:val="nl-NL"/>
              </w:rPr>
              <w:t>10.6.1</w:t>
            </w:r>
            <w:r>
              <w:rPr>
                <w:rFonts w:eastAsiaTheme="minorEastAsia"/>
                <w:noProof/>
                <w:kern w:val="2"/>
                <w:sz w:val="24"/>
                <w:szCs w:val="24"/>
                <w:lang w:val="nl-NL" w:eastAsia="nl-NL"/>
                <w14:ligatures w14:val="standardContextual"/>
              </w:rPr>
              <w:tab/>
            </w:r>
            <w:r w:rsidRPr="006E4C01">
              <w:rPr>
                <w:rStyle w:val="Hyperlink"/>
                <w:noProof/>
                <w:lang w:val="nl-NL"/>
              </w:rPr>
              <w:t>Afdekking van het renterisico</w:t>
            </w:r>
            <w:r>
              <w:rPr>
                <w:noProof/>
                <w:webHidden/>
              </w:rPr>
              <w:tab/>
            </w:r>
            <w:r>
              <w:rPr>
                <w:noProof/>
                <w:webHidden/>
              </w:rPr>
              <w:fldChar w:fldCharType="begin"/>
            </w:r>
            <w:r>
              <w:rPr>
                <w:noProof/>
                <w:webHidden/>
              </w:rPr>
              <w:instrText xml:space="preserve"> PAGEREF _Toc231804779 \h </w:instrText>
            </w:r>
            <w:r>
              <w:rPr>
                <w:noProof/>
                <w:webHidden/>
              </w:rPr>
            </w:r>
            <w:r>
              <w:rPr>
                <w:noProof/>
                <w:webHidden/>
              </w:rPr>
              <w:fldChar w:fldCharType="separate"/>
            </w:r>
            <w:r>
              <w:rPr>
                <w:noProof/>
                <w:webHidden/>
              </w:rPr>
              <w:t>39</w:t>
            </w:r>
            <w:r>
              <w:rPr>
                <w:noProof/>
                <w:webHidden/>
              </w:rPr>
              <w:fldChar w:fldCharType="end"/>
            </w:r>
          </w:hyperlink>
        </w:p>
        <w:p w14:paraId="37B953A3" w14:textId="489AAC3A" w:rsidR="003753EB" w:rsidRDefault="003753EB">
          <w:pPr>
            <w:pStyle w:val="Inhopg3"/>
            <w:tabs>
              <w:tab w:val="left" w:pos="1200"/>
              <w:tab w:val="right" w:leader="dot" w:pos="9061"/>
            </w:tabs>
            <w:rPr>
              <w:rFonts w:eastAsiaTheme="minorEastAsia"/>
              <w:noProof/>
              <w:kern w:val="2"/>
              <w:sz w:val="24"/>
              <w:szCs w:val="24"/>
              <w:lang w:val="nl-NL" w:eastAsia="nl-NL"/>
              <w14:ligatures w14:val="standardContextual"/>
            </w:rPr>
          </w:pPr>
          <w:hyperlink w:anchor="_Toc231804780" w:history="1">
            <w:r w:rsidRPr="006E4C01">
              <w:rPr>
                <w:rStyle w:val="Hyperlink"/>
                <w:noProof/>
                <w:lang w:val="nl-NL"/>
              </w:rPr>
              <w:t>10.6.2</w:t>
            </w:r>
            <w:r>
              <w:rPr>
                <w:rFonts w:eastAsiaTheme="minorEastAsia"/>
                <w:noProof/>
                <w:kern w:val="2"/>
                <w:sz w:val="24"/>
                <w:szCs w:val="24"/>
                <w:lang w:val="nl-NL" w:eastAsia="nl-NL"/>
                <w14:ligatures w14:val="standardContextual"/>
              </w:rPr>
              <w:tab/>
            </w:r>
            <w:r w:rsidRPr="006E4C01">
              <w:rPr>
                <w:rStyle w:val="Hyperlink"/>
                <w:noProof/>
                <w:lang w:val="nl-NL"/>
              </w:rPr>
              <w:t>Afdekking van het valutarisico</w:t>
            </w:r>
            <w:r>
              <w:rPr>
                <w:noProof/>
                <w:webHidden/>
              </w:rPr>
              <w:tab/>
            </w:r>
            <w:r>
              <w:rPr>
                <w:noProof/>
                <w:webHidden/>
              </w:rPr>
              <w:fldChar w:fldCharType="begin"/>
            </w:r>
            <w:r>
              <w:rPr>
                <w:noProof/>
                <w:webHidden/>
              </w:rPr>
              <w:instrText xml:space="preserve"> PAGEREF _Toc231804780 \h </w:instrText>
            </w:r>
            <w:r>
              <w:rPr>
                <w:noProof/>
                <w:webHidden/>
              </w:rPr>
            </w:r>
            <w:r>
              <w:rPr>
                <w:noProof/>
                <w:webHidden/>
              </w:rPr>
              <w:fldChar w:fldCharType="separate"/>
            </w:r>
            <w:r>
              <w:rPr>
                <w:noProof/>
                <w:webHidden/>
              </w:rPr>
              <w:t>40</w:t>
            </w:r>
            <w:r>
              <w:rPr>
                <w:noProof/>
                <w:webHidden/>
              </w:rPr>
              <w:fldChar w:fldCharType="end"/>
            </w:r>
          </w:hyperlink>
        </w:p>
        <w:p w14:paraId="5BCA7672" w14:textId="2BE03F53" w:rsidR="003753EB" w:rsidRDefault="003753EB">
          <w:pPr>
            <w:pStyle w:val="Inhopg3"/>
            <w:tabs>
              <w:tab w:val="left" w:pos="1200"/>
              <w:tab w:val="right" w:leader="dot" w:pos="9061"/>
            </w:tabs>
            <w:rPr>
              <w:rFonts w:eastAsiaTheme="minorEastAsia"/>
              <w:noProof/>
              <w:kern w:val="2"/>
              <w:sz w:val="24"/>
              <w:szCs w:val="24"/>
              <w:lang w:val="nl-NL" w:eastAsia="nl-NL"/>
              <w14:ligatures w14:val="standardContextual"/>
            </w:rPr>
          </w:pPr>
          <w:hyperlink w:anchor="_Toc231804781" w:history="1">
            <w:r w:rsidRPr="006E4C01">
              <w:rPr>
                <w:rStyle w:val="Hyperlink"/>
                <w:noProof/>
                <w:lang w:val="nl-NL"/>
              </w:rPr>
              <w:t>10.6.3</w:t>
            </w:r>
            <w:r>
              <w:rPr>
                <w:rFonts w:eastAsiaTheme="minorEastAsia"/>
                <w:noProof/>
                <w:kern w:val="2"/>
                <w:sz w:val="24"/>
                <w:szCs w:val="24"/>
                <w:lang w:val="nl-NL" w:eastAsia="nl-NL"/>
                <w14:ligatures w14:val="standardContextual"/>
              </w:rPr>
              <w:tab/>
            </w:r>
            <w:r w:rsidRPr="006E4C01">
              <w:rPr>
                <w:rStyle w:val="Hyperlink"/>
                <w:noProof/>
                <w:lang w:val="nl-NL"/>
              </w:rPr>
              <w:t>Afdekking van duurzaamheidsrisico’s</w:t>
            </w:r>
            <w:r>
              <w:rPr>
                <w:noProof/>
                <w:webHidden/>
              </w:rPr>
              <w:tab/>
            </w:r>
            <w:r>
              <w:rPr>
                <w:noProof/>
                <w:webHidden/>
              </w:rPr>
              <w:fldChar w:fldCharType="begin"/>
            </w:r>
            <w:r>
              <w:rPr>
                <w:noProof/>
                <w:webHidden/>
              </w:rPr>
              <w:instrText xml:space="preserve"> PAGEREF _Toc231804781 \h </w:instrText>
            </w:r>
            <w:r>
              <w:rPr>
                <w:noProof/>
                <w:webHidden/>
              </w:rPr>
            </w:r>
            <w:r>
              <w:rPr>
                <w:noProof/>
                <w:webHidden/>
              </w:rPr>
              <w:fldChar w:fldCharType="separate"/>
            </w:r>
            <w:r>
              <w:rPr>
                <w:noProof/>
                <w:webHidden/>
              </w:rPr>
              <w:t>41</w:t>
            </w:r>
            <w:r>
              <w:rPr>
                <w:noProof/>
                <w:webHidden/>
              </w:rPr>
              <w:fldChar w:fldCharType="end"/>
            </w:r>
          </w:hyperlink>
        </w:p>
        <w:p w14:paraId="012ED247" w14:textId="35FDE742" w:rsidR="003753EB" w:rsidRDefault="003753EB">
          <w:pPr>
            <w:pStyle w:val="Inhopg3"/>
            <w:tabs>
              <w:tab w:val="left" w:pos="1200"/>
              <w:tab w:val="right" w:leader="dot" w:pos="9061"/>
            </w:tabs>
            <w:rPr>
              <w:rFonts w:eastAsiaTheme="minorEastAsia"/>
              <w:noProof/>
              <w:kern w:val="2"/>
              <w:sz w:val="24"/>
              <w:szCs w:val="24"/>
              <w:lang w:val="nl-NL" w:eastAsia="nl-NL"/>
              <w14:ligatures w14:val="standardContextual"/>
            </w:rPr>
          </w:pPr>
          <w:hyperlink w:anchor="_Toc231804782" w:history="1">
            <w:r w:rsidRPr="006E4C01">
              <w:rPr>
                <w:rStyle w:val="Hyperlink"/>
                <w:noProof/>
                <w:lang w:val="nl-NL"/>
              </w:rPr>
              <w:t>10.6.4</w:t>
            </w:r>
            <w:r>
              <w:rPr>
                <w:rFonts w:eastAsiaTheme="minorEastAsia"/>
                <w:noProof/>
                <w:kern w:val="2"/>
                <w:sz w:val="24"/>
                <w:szCs w:val="24"/>
                <w:lang w:val="nl-NL" w:eastAsia="nl-NL"/>
                <w14:ligatures w14:val="standardContextual"/>
              </w:rPr>
              <w:tab/>
            </w:r>
            <w:r w:rsidRPr="006E4C01">
              <w:rPr>
                <w:rStyle w:val="Hyperlink"/>
                <w:noProof/>
                <w:lang w:val="nl-NL"/>
              </w:rPr>
              <w:t>Afdekking van dekkingsgraad en kapitaalbescherming</w:t>
            </w:r>
            <w:r>
              <w:rPr>
                <w:noProof/>
                <w:webHidden/>
              </w:rPr>
              <w:tab/>
            </w:r>
            <w:r>
              <w:rPr>
                <w:noProof/>
                <w:webHidden/>
              </w:rPr>
              <w:fldChar w:fldCharType="begin"/>
            </w:r>
            <w:r>
              <w:rPr>
                <w:noProof/>
                <w:webHidden/>
              </w:rPr>
              <w:instrText xml:space="preserve"> PAGEREF _Toc231804782 \h </w:instrText>
            </w:r>
            <w:r>
              <w:rPr>
                <w:noProof/>
                <w:webHidden/>
              </w:rPr>
            </w:r>
            <w:r>
              <w:rPr>
                <w:noProof/>
                <w:webHidden/>
              </w:rPr>
              <w:fldChar w:fldCharType="separate"/>
            </w:r>
            <w:r>
              <w:rPr>
                <w:noProof/>
                <w:webHidden/>
              </w:rPr>
              <w:t>41</w:t>
            </w:r>
            <w:r>
              <w:rPr>
                <w:noProof/>
                <w:webHidden/>
              </w:rPr>
              <w:fldChar w:fldCharType="end"/>
            </w:r>
          </w:hyperlink>
        </w:p>
        <w:p w14:paraId="7C459F9E" w14:textId="01C9FDF7" w:rsidR="003753EB" w:rsidRDefault="003753EB">
          <w:pPr>
            <w:pStyle w:val="Inhopg2"/>
            <w:tabs>
              <w:tab w:val="left" w:pos="960"/>
              <w:tab w:val="right" w:leader="dot" w:pos="9061"/>
            </w:tabs>
            <w:rPr>
              <w:rFonts w:eastAsiaTheme="minorEastAsia"/>
              <w:noProof/>
              <w:kern w:val="2"/>
              <w:sz w:val="24"/>
              <w:szCs w:val="24"/>
              <w:lang w:val="nl-NL" w:eastAsia="nl-NL"/>
              <w14:ligatures w14:val="standardContextual"/>
            </w:rPr>
          </w:pPr>
          <w:hyperlink w:anchor="_Toc231804783" w:history="1">
            <w:r w:rsidRPr="006E4C01">
              <w:rPr>
                <w:rStyle w:val="Hyperlink"/>
                <w:noProof/>
                <w:lang w:val="nl-NL"/>
              </w:rPr>
              <w:t>10.7</w:t>
            </w:r>
            <w:r>
              <w:rPr>
                <w:rFonts w:eastAsiaTheme="minorEastAsia"/>
                <w:noProof/>
                <w:kern w:val="2"/>
                <w:sz w:val="24"/>
                <w:szCs w:val="24"/>
                <w:lang w:val="nl-NL" w:eastAsia="nl-NL"/>
                <w14:ligatures w14:val="standardContextual"/>
              </w:rPr>
              <w:tab/>
            </w:r>
            <w:r w:rsidRPr="006E4C01">
              <w:rPr>
                <w:rStyle w:val="Hyperlink"/>
                <w:noProof/>
                <w:lang w:val="nl-NL"/>
              </w:rPr>
              <w:t>Benchmarks en (integrale) vermogensbeheerkosten</w:t>
            </w:r>
            <w:r>
              <w:rPr>
                <w:noProof/>
                <w:webHidden/>
              </w:rPr>
              <w:tab/>
            </w:r>
            <w:r>
              <w:rPr>
                <w:noProof/>
                <w:webHidden/>
              </w:rPr>
              <w:fldChar w:fldCharType="begin"/>
            </w:r>
            <w:r>
              <w:rPr>
                <w:noProof/>
                <w:webHidden/>
              </w:rPr>
              <w:instrText xml:space="preserve"> PAGEREF _Toc231804783 \h </w:instrText>
            </w:r>
            <w:r>
              <w:rPr>
                <w:noProof/>
                <w:webHidden/>
              </w:rPr>
            </w:r>
            <w:r>
              <w:rPr>
                <w:noProof/>
                <w:webHidden/>
              </w:rPr>
              <w:fldChar w:fldCharType="separate"/>
            </w:r>
            <w:r>
              <w:rPr>
                <w:noProof/>
                <w:webHidden/>
              </w:rPr>
              <w:t>42</w:t>
            </w:r>
            <w:r>
              <w:rPr>
                <w:noProof/>
                <w:webHidden/>
              </w:rPr>
              <w:fldChar w:fldCharType="end"/>
            </w:r>
          </w:hyperlink>
        </w:p>
        <w:p w14:paraId="16096896" w14:textId="291352E5" w:rsidR="003753EB" w:rsidRDefault="003753EB">
          <w:pPr>
            <w:pStyle w:val="Inhopg1"/>
            <w:rPr>
              <w:rFonts w:eastAsiaTheme="minorEastAsia"/>
              <w:kern w:val="2"/>
              <w:sz w:val="24"/>
              <w:szCs w:val="24"/>
              <w:lang w:eastAsia="nl-NL"/>
              <w14:ligatures w14:val="standardContextual"/>
            </w:rPr>
          </w:pPr>
          <w:hyperlink w:anchor="_Toc231804784" w:history="1">
            <w:r w:rsidRPr="006E4C01">
              <w:rPr>
                <w:rStyle w:val="Hyperlink"/>
              </w:rPr>
              <w:t>BIJLAGE 1: Actuariële grondslagen en veronderstellingen</w:t>
            </w:r>
            <w:r>
              <w:rPr>
                <w:webHidden/>
              </w:rPr>
              <w:tab/>
            </w:r>
            <w:r>
              <w:rPr>
                <w:webHidden/>
              </w:rPr>
              <w:fldChar w:fldCharType="begin"/>
            </w:r>
            <w:r>
              <w:rPr>
                <w:webHidden/>
              </w:rPr>
              <w:instrText xml:space="preserve"> PAGEREF _Toc231804784 \h </w:instrText>
            </w:r>
            <w:r>
              <w:rPr>
                <w:webHidden/>
              </w:rPr>
            </w:r>
            <w:r>
              <w:rPr>
                <w:webHidden/>
              </w:rPr>
              <w:fldChar w:fldCharType="separate"/>
            </w:r>
            <w:r>
              <w:rPr>
                <w:webHidden/>
              </w:rPr>
              <w:t>44</w:t>
            </w:r>
            <w:r>
              <w:rPr>
                <w:webHidden/>
              </w:rPr>
              <w:fldChar w:fldCharType="end"/>
            </w:r>
          </w:hyperlink>
        </w:p>
        <w:p w14:paraId="01FE0F00" w14:textId="29121614" w:rsidR="003753EB" w:rsidRDefault="003753EB">
          <w:pPr>
            <w:pStyle w:val="Inhopg1"/>
            <w:rPr>
              <w:rFonts w:eastAsiaTheme="minorEastAsia"/>
              <w:kern w:val="2"/>
              <w:sz w:val="24"/>
              <w:szCs w:val="24"/>
              <w:lang w:eastAsia="nl-NL"/>
              <w14:ligatures w14:val="standardContextual"/>
            </w:rPr>
          </w:pPr>
          <w:hyperlink w:anchor="_Toc231804785" w:history="1">
            <w:r w:rsidRPr="006E4C01">
              <w:rPr>
                <w:rStyle w:val="Hyperlink"/>
              </w:rPr>
              <w:t>BIJLAGE 2: Ervaringssterfte en partnerfrequentie ING CDC Pensioenfonds</w:t>
            </w:r>
            <w:r>
              <w:rPr>
                <w:webHidden/>
              </w:rPr>
              <w:tab/>
            </w:r>
            <w:r>
              <w:rPr>
                <w:webHidden/>
              </w:rPr>
              <w:fldChar w:fldCharType="begin"/>
            </w:r>
            <w:r>
              <w:rPr>
                <w:webHidden/>
              </w:rPr>
              <w:instrText xml:space="preserve"> PAGEREF _Toc231804785 \h </w:instrText>
            </w:r>
            <w:r>
              <w:rPr>
                <w:webHidden/>
              </w:rPr>
            </w:r>
            <w:r>
              <w:rPr>
                <w:webHidden/>
              </w:rPr>
              <w:fldChar w:fldCharType="separate"/>
            </w:r>
            <w:r>
              <w:rPr>
                <w:webHidden/>
              </w:rPr>
              <w:t>45</w:t>
            </w:r>
            <w:r>
              <w:rPr>
                <w:webHidden/>
              </w:rPr>
              <w:fldChar w:fldCharType="end"/>
            </w:r>
          </w:hyperlink>
        </w:p>
        <w:p w14:paraId="0A921193" w14:textId="4949C8B8" w:rsidR="003753EB" w:rsidRDefault="003753EB">
          <w:pPr>
            <w:pStyle w:val="Inhopg1"/>
            <w:rPr>
              <w:rFonts w:eastAsiaTheme="minorEastAsia"/>
              <w:kern w:val="2"/>
              <w:sz w:val="24"/>
              <w:szCs w:val="24"/>
              <w:lang w:eastAsia="nl-NL"/>
              <w14:ligatures w14:val="standardContextual"/>
            </w:rPr>
          </w:pPr>
          <w:hyperlink w:anchor="_Toc231804786" w:history="1">
            <w:r w:rsidRPr="006E4C01">
              <w:rPr>
                <w:rStyle w:val="Hyperlink"/>
              </w:rPr>
              <w:t>BIJLAGE 3: Verklaring inzake beleggingsbeginselen</w:t>
            </w:r>
            <w:r>
              <w:rPr>
                <w:webHidden/>
              </w:rPr>
              <w:tab/>
            </w:r>
            <w:r>
              <w:rPr>
                <w:webHidden/>
              </w:rPr>
              <w:fldChar w:fldCharType="begin"/>
            </w:r>
            <w:r>
              <w:rPr>
                <w:webHidden/>
              </w:rPr>
              <w:instrText xml:space="preserve"> PAGEREF _Toc231804786 \h </w:instrText>
            </w:r>
            <w:r>
              <w:rPr>
                <w:webHidden/>
              </w:rPr>
            </w:r>
            <w:r>
              <w:rPr>
                <w:webHidden/>
              </w:rPr>
              <w:fldChar w:fldCharType="separate"/>
            </w:r>
            <w:r>
              <w:rPr>
                <w:webHidden/>
              </w:rPr>
              <w:t>47</w:t>
            </w:r>
            <w:r>
              <w:rPr>
                <w:webHidden/>
              </w:rPr>
              <w:fldChar w:fldCharType="end"/>
            </w:r>
          </w:hyperlink>
        </w:p>
        <w:p w14:paraId="20B8EC14" w14:textId="34C7AB7F" w:rsidR="003753EB" w:rsidRDefault="003753EB">
          <w:pPr>
            <w:pStyle w:val="Inhopg1"/>
            <w:rPr>
              <w:rFonts w:eastAsiaTheme="minorEastAsia"/>
              <w:kern w:val="2"/>
              <w:sz w:val="24"/>
              <w:szCs w:val="24"/>
              <w:lang w:eastAsia="nl-NL"/>
              <w14:ligatures w14:val="standardContextual"/>
            </w:rPr>
          </w:pPr>
          <w:hyperlink w:anchor="_Toc231804787" w:history="1">
            <w:r w:rsidRPr="006E4C01">
              <w:rPr>
                <w:rStyle w:val="Hyperlink"/>
              </w:rPr>
              <w:t>BIJLAGE 4: Financieel crisisplan</w:t>
            </w:r>
            <w:r>
              <w:rPr>
                <w:webHidden/>
              </w:rPr>
              <w:tab/>
            </w:r>
            <w:r>
              <w:rPr>
                <w:webHidden/>
              </w:rPr>
              <w:fldChar w:fldCharType="begin"/>
            </w:r>
            <w:r>
              <w:rPr>
                <w:webHidden/>
              </w:rPr>
              <w:instrText xml:space="preserve"> PAGEREF _Toc231804787 \h </w:instrText>
            </w:r>
            <w:r>
              <w:rPr>
                <w:webHidden/>
              </w:rPr>
            </w:r>
            <w:r>
              <w:rPr>
                <w:webHidden/>
              </w:rPr>
              <w:fldChar w:fldCharType="separate"/>
            </w:r>
            <w:r>
              <w:rPr>
                <w:webHidden/>
              </w:rPr>
              <w:t>54</w:t>
            </w:r>
            <w:r>
              <w:rPr>
                <w:webHidden/>
              </w:rPr>
              <w:fldChar w:fldCharType="end"/>
            </w:r>
          </w:hyperlink>
        </w:p>
        <w:p w14:paraId="71458429" w14:textId="1F7670E7" w:rsidR="003753EB" w:rsidRDefault="003753EB">
          <w:pPr>
            <w:pStyle w:val="Inhopg1"/>
            <w:rPr>
              <w:rFonts w:eastAsiaTheme="minorEastAsia"/>
              <w:kern w:val="2"/>
              <w:sz w:val="24"/>
              <w:szCs w:val="24"/>
              <w:lang w:eastAsia="nl-NL"/>
              <w14:ligatures w14:val="standardContextual"/>
            </w:rPr>
          </w:pPr>
          <w:hyperlink w:anchor="_Toc231804788" w:history="1">
            <w:r w:rsidRPr="006E4C01">
              <w:rPr>
                <w:rStyle w:val="Hyperlink"/>
              </w:rPr>
              <w:t>BIJLAGE 5: Noodprocedure</w:t>
            </w:r>
            <w:r>
              <w:rPr>
                <w:webHidden/>
              </w:rPr>
              <w:tab/>
            </w:r>
            <w:r>
              <w:rPr>
                <w:webHidden/>
              </w:rPr>
              <w:fldChar w:fldCharType="begin"/>
            </w:r>
            <w:r>
              <w:rPr>
                <w:webHidden/>
              </w:rPr>
              <w:instrText xml:space="preserve"> PAGEREF _Toc231804788 \h </w:instrText>
            </w:r>
            <w:r>
              <w:rPr>
                <w:webHidden/>
              </w:rPr>
            </w:r>
            <w:r>
              <w:rPr>
                <w:webHidden/>
              </w:rPr>
              <w:fldChar w:fldCharType="separate"/>
            </w:r>
            <w:r>
              <w:rPr>
                <w:webHidden/>
              </w:rPr>
              <w:t>61</w:t>
            </w:r>
            <w:r>
              <w:rPr>
                <w:webHidden/>
              </w:rPr>
              <w:fldChar w:fldCharType="end"/>
            </w:r>
          </w:hyperlink>
        </w:p>
        <w:p w14:paraId="1AF8A5F8" w14:textId="12EBFFBD" w:rsidR="00142424" w:rsidRPr="008B66AE" w:rsidRDefault="00142424" w:rsidP="00142424">
          <w:pPr>
            <w:rPr>
              <w:b/>
              <w:bCs/>
              <w:lang w:val="nl-NL"/>
            </w:rPr>
          </w:pPr>
          <w:r w:rsidRPr="008B66AE">
            <w:rPr>
              <w:b/>
              <w:bCs/>
              <w:lang w:val="nl-NL"/>
            </w:rPr>
            <w:fldChar w:fldCharType="end"/>
          </w:r>
        </w:p>
      </w:sdtContent>
    </w:sdt>
    <w:p w14:paraId="5003CFEB" w14:textId="77777777" w:rsidR="00B53A75" w:rsidRPr="008B66AE" w:rsidRDefault="00B53A75">
      <w:pPr>
        <w:spacing w:after="200" w:line="276" w:lineRule="auto"/>
        <w:rPr>
          <w:lang w:val="nl-NL"/>
        </w:rPr>
      </w:pPr>
      <w:bookmarkStart w:id="1" w:name="_Toc379529679"/>
      <w:bookmarkStart w:id="2" w:name="_Toc379529693"/>
      <w:bookmarkStart w:id="3" w:name="_Toc379529731"/>
      <w:bookmarkStart w:id="4" w:name="_Toc379529734"/>
      <w:bookmarkStart w:id="5" w:name="_Toc379531487"/>
      <w:bookmarkStart w:id="6" w:name="_Toc379531507"/>
    </w:p>
    <w:p w14:paraId="3D4C4662" w14:textId="77777777" w:rsidR="00B53A75" w:rsidRPr="008B66AE" w:rsidRDefault="00B53A75">
      <w:pPr>
        <w:spacing w:after="200" w:line="276" w:lineRule="auto"/>
        <w:rPr>
          <w:rFonts w:asciiTheme="majorHAnsi" w:eastAsiaTheme="majorEastAsia" w:hAnsiTheme="majorHAnsi" w:cstheme="majorBidi" w:hint="eastAsia"/>
          <w:b/>
          <w:bCs/>
          <w:sz w:val="24"/>
          <w:szCs w:val="28"/>
          <w:lang w:val="nl-NL"/>
        </w:rPr>
      </w:pPr>
      <w:r w:rsidRPr="008B66AE">
        <w:rPr>
          <w:lang w:val="nl-NL"/>
        </w:rPr>
        <w:br w:type="page"/>
      </w:r>
    </w:p>
    <w:p w14:paraId="3234F98A" w14:textId="77777777" w:rsidR="002B6DE9" w:rsidRPr="008B66AE" w:rsidRDefault="008A4E45" w:rsidP="002B6DE9">
      <w:pPr>
        <w:pStyle w:val="Kop1"/>
        <w:rPr>
          <w:rFonts w:hint="eastAsia"/>
          <w:lang w:val="nl-NL"/>
        </w:rPr>
      </w:pPr>
      <w:bookmarkStart w:id="7" w:name="_Toc231804734"/>
      <w:bookmarkEnd w:id="1"/>
      <w:bookmarkEnd w:id="2"/>
      <w:bookmarkEnd w:id="3"/>
      <w:bookmarkEnd w:id="4"/>
      <w:bookmarkEnd w:id="5"/>
      <w:bookmarkEnd w:id="6"/>
      <w:r>
        <w:rPr>
          <w:lang w:val="nl-NL"/>
        </w:rPr>
        <w:lastRenderedPageBreak/>
        <w:t>Inleiding</w:t>
      </w:r>
      <w:bookmarkEnd w:id="7"/>
    </w:p>
    <w:p w14:paraId="3555F81A" w14:textId="77777777" w:rsidR="002B6DE9" w:rsidRPr="008B66AE" w:rsidRDefault="002B6DE9" w:rsidP="002B6DE9">
      <w:pPr>
        <w:rPr>
          <w:lang w:val="nl-NL"/>
        </w:rPr>
      </w:pPr>
    </w:p>
    <w:p w14:paraId="3E1BD689" w14:textId="77777777" w:rsidR="008A4E45" w:rsidRPr="008A4E45" w:rsidRDefault="008A4E45" w:rsidP="008A4E45">
      <w:pPr>
        <w:rPr>
          <w:lang w:val="nl-NL"/>
        </w:rPr>
      </w:pPr>
      <w:r w:rsidRPr="008A4E45">
        <w:rPr>
          <w:lang w:val="nl-NL"/>
        </w:rPr>
        <w:t xml:space="preserve">Vanaf 1 januari 2014 vallen de medewerkers van ING  onder een nieuwe pensioenregeling, een CDC-pensioenregeling (Collective Defined Contribution). </w:t>
      </w:r>
    </w:p>
    <w:p w14:paraId="4D021E7C" w14:textId="77777777" w:rsidR="008A4E45" w:rsidRPr="008A4E45" w:rsidRDefault="008A4E45" w:rsidP="008A4E45">
      <w:pPr>
        <w:rPr>
          <w:lang w:val="nl-NL"/>
        </w:rPr>
      </w:pPr>
      <w:r w:rsidRPr="008A4E45">
        <w:rPr>
          <w:lang w:val="nl-NL"/>
        </w:rPr>
        <w:t>Stichting ING CDC Pensioenfonds werkt volgens een door het bestuur vastgestelde actuariële en bedrijfstechnische nota (ABTN), zoals bedoeld in artikel 145 van de Pensioenwet en het daaruit voortvloeiende Besluit Financieel Toetsingskader (Besluit FTK). De ABTN geeft de centrale criteria aan op basis waarvan het (financi</w:t>
      </w:r>
      <w:r w:rsidR="001B2EC0">
        <w:rPr>
          <w:lang w:val="nl-NL"/>
        </w:rPr>
        <w:t>ë</w:t>
      </w:r>
      <w:r w:rsidRPr="008A4E45">
        <w:rPr>
          <w:lang w:val="nl-NL"/>
        </w:rPr>
        <w:t>l</w:t>
      </w:r>
      <w:r w:rsidR="001B2EC0">
        <w:rPr>
          <w:lang w:val="nl-NL"/>
        </w:rPr>
        <w:t>e</w:t>
      </w:r>
      <w:r w:rsidRPr="008A4E45">
        <w:rPr>
          <w:lang w:val="nl-NL"/>
        </w:rPr>
        <w:t>) beleid van het</w:t>
      </w:r>
      <w:r w:rsidR="001B2EC0">
        <w:rPr>
          <w:lang w:val="nl-NL"/>
        </w:rPr>
        <w:t xml:space="preserve"> </w:t>
      </w:r>
      <w:r w:rsidRPr="008A4E45">
        <w:rPr>
          <w:lang w:val="nl-NL"/>
        </w:rPr>
        <w:t>fonds wordt gevoerd.</w:t>
      </w:r>
    </w:p>
    <w:p w14:paraId="65585748" w14:textId="77777777" w:rsidR="008A4E45" w:rsidRPr="008A4E45" w:rsidRDefault="008A4E45" w:rsidP="008A4E45">
      <w:pPr>
        <w:rPr>
          <w:lang w:val="nl-NL"/>
        </w:rPr>
      </w:pPr>
    </w:p>
    <w:p w14:paraId="09195600" w14:textId="4B6935DB" w:rsidR="008A4E45" w:rsidRDefault="008A4E45" w:rsidP="008A4E45">
      <w:pPr>
        <w:rPr>
          <w:lang w:val="nl-NL"/>
        </w:rPr>
      </w:pPr>
      <w:r w:rsidRPr="008A4E45">
        <w:rPr>
          <w:lang w:val="nl-NL"/>
        </w:rPr>
        <w:t>Deze ABTN is vastgesteld</w:t>
      </w:r>
      <w:r w:rsidR="00386B8F">
        <w:rPr>
          <w:lang w:val="nl-NL"/>
        </w:rPr>
        <w:t xml:space="preserve"> </w:t>
      </w:r>
      <w:r w:rsidR="003C455A">
        <w:rPr>
          <w:lang w:val="nl-NL"/>
        </w:rPr>
        <w:t xml:space="preserve">op </w:t>
      </w:r>
      <w:r w:rsidR="007F2B9F">
        <w:rPr>
          <w:lang w:val="nl-NL"/>
        </w:rPr>
        <w:t>20 mei 2026</w:t>
      </w:r>
    </w:p>
    <w:p w14:paraId="2C05069B" w14:textId="74072E00" w:rsidR="008A4E45" w:rsidRDefault="008A4E45" w:rsidP="00BE1489">
      <w:pPr>
        <w:spacing w:line="276" w:lineRule="auto"/>
        <w:rPr>
          <w:lang w:val="nl-NL"/>
        </w:rPr>
      </w:pPr>
      <w:r>
        <w:rPr>
          <w:lang w:val="nl-NL"/>
        </w:rPr>
        <w:br w:type="page"/>
      </w:r>
      <w:r w:rsidR="00376B59">
        <w:rPr>
          <w:lang w:val="nl-NL"/>
        </w:rPr>
        <w:lastRenderedPageBreak/>
        <w:t xml:space="preserve"> </w:t>
      </w:r>
    </w:p>
    <w:p w14:paraId="57DB4285" w14:textId="1E43E8F4" w:rsidR="00A20C63" w:rsidRPr="00BA4EE5" w:rsidRDefault="00A20C63" w:rsidP="00BE1489">
      <w:pPr>
        <w:pStyle w:val="Kop1"/>
        <w:spacing w:before="0"/>
        <w:ind w:left="431" w:hanging="431"/>
        <w:rPr>
          <w:rFonts w:hint="eastAsia"/>
          <w:lang w:val="nl-NL"/>
        </w:rPr>
      </w:pPr>
      <w:bookmarkStart w:id="8" w:name="_Toc231804735"/>
      <w:r w:rsidRPr="00BA4EE5">
        <w:rPr>
          <w:lang w:val="nl-NL"/>
        </w:rPr>
        <w:t>Missie</w:t>
      </w:r>
      <w:r w:rsidR="004156E3">
        <w:rPr>
          <w:lang w:val="nl-NL"/>
        </w:rPr>
        <w:t>,</w:t>
      </w:r>
      <w:r w:rsidRPr="00BA4EE5">
        <w:rPr>
          <w:lang w:val="nl-NL"/>
        </w:rPr>
        <w:t>visie</w:t>
      </w:r>
      <w:r w:rsidR="004156E3">
        <w:rPr>
          <w:lang w:val="nl-NL"/>
        </w:rPr>
        <w:t xml:space="preserve"> en strategie</w:t>
      </w:r>
      <w:bookmarkEnd w:id="8"/>
    </w:p>
    <w:p w14:paraId="1193DCD5" w14:textId="2E4C9CAD" w:rsidR="00A20C63" w:rsidRPr="00A20C63" w:rsidRDefault="00061A5E" w:rsidP="00A20C63">
      <w:pPr>
        <w:pStyle w:val="Kop2"/>
        <w:rPr>
          <w:rFonts w:hint="eastAsia"/>
          <w:lang w:val="nl-NL"/>
        </w:rPr>
      </w:pPr>
      <w:bookmarkStart w:id="9" w:name="_Toc231804736"/>
      <w:r>
        <w:rPr>
          <w:lang w:val="nl-NL"/>
        </w:rPr>
        <w:t>Doelstelling, missie</w:t>
      </w:r>
      <w:r w:rsidR="00051C97">
        <w:rPr>
          <w:lang w:val="nl-NL"/>
        </w:rPr>
        <w:t>,</w:t>
      </w:r>
      <w:r>
        <w:rPr>
          <w:lang w:val="nl-NL"/>
        </w:rPr>
        <w:t>visie</w:t>
      </w:r>
      <w:r w:rsidR="00051C97">
        <w:rPr>
          <w:lang w:val="nl-NL"/>
        </w:rPr>
        <w:t xml:space="preserve"> en strategie</w:t>
      </w:r>
      <w:bookmarkEnd w:id="9"/>
    </w:p>
    <w:p w14:paraId="708B9C29" w14:textId="77777777" w:rsidR="00A20C63" w:rsidRPr="00A20C63" w:rsidRDefault="00A20C63" w:rsidP="00A20C63">
      <w:pPr>
        <w:rPr>
          <w:lang w:val="nl-NL"/>
        </w:rPr>
      </w:pPr>
    </w:p>
    <w:p w14:paraId="120F74B6" w14:textId="1DE7C21C" w:rsidR="008155CE" w:rsidRPr="001D2732" w:rsidRDefault="00061A5E" w:rsidP="008155CE">
      <w:pPr>
        <w:rPr>
          <w:lang w:val="nl-NL"/>
        </w:rPr>
      </w:pPr>
      <w:r w:rsidRPr="005C691F">
        <w:rPr>
          <w:lang w:val="nl-NL"/>
        </w:rPr>
        <w:t>Het fonds heeft als doel pensioenen te verstrekken ingeval van ouderdom, arbeidsongeschiktheid en overlijden van (gewezen) deelnemers of pensioengerechtigden, volgens de bepalingen van het pensioenreglement. De pensioenregelingen die ING CDC Pensioenfonds uitvoert, dienen te kwalificeren als een collectieve beschikbare premieregeling (Collective Defined Contribution oftewel CDC-pensioenregeling) waarop de werkgever IFRS-accounting (IAS 19R) met DC classificatie kan toepassen. Het fonds voert de pensioenregeling die de werkgever met de vakorganisaties is overeengekomen prudent uit in het belang van de deelnemers en andere belanghebbenden.</w:t>
      </w:r>
      <w:r w:rsidR="008155CE">
        <w:rPr>
          <w:lang w:val="nl-NL"/>
        </w:rPr>
        <w:t xml:space="preserve"> </w:t>
      </w:r>
      <w:r w:rsidR="008155CE" w:rsidRPr="001D2732">
        <w:rPr>
          <w:lang w:val="nl-NL"/>
        </w:rPr>
        <w:t>Toekomstbestendigheid is hierbij van essentieel belang: de fondsen willen hun</w:t>
      </w:r>
      <w:r w:rsidR="002974C2">
        <w:rPr>
          <w:lang w:val="nl-NL"/>
        </w:rPr>
        <w:t xml:space="preserve"> </w:t>
      </w:r>
      <w:r w:rsidR="008155CE" w:rsidRPr="001D2732">
        <w:rPr>
          <w:lang w:val="nl-NL"/>
        </w:rPr>
        <w:t>deelnemers en stakeholders blijven faciliteren naar de toekomst toe en moeten derhalve kunnen omgaan met verandering.</w:t>
      </w:r>
    </w:p>
    <w:p w14:paraId="36F2C75B" w14:textId="05CD351D" w:rsidR="00061A5E" w:rsidRPr="005C691F" w:rsidRDefault="00061A5E" w:rsidP="00061A5E">
      <w:pPr>
        <w:rPr>
          <w:lang w:val="nl-NL"/>
        </w:rPr>
      </w:pPr>
    </w:p>
    <w:p w14:paraId="3DC24896" w14:textId="48BEA4FF" w:rsidR="00061A5E" w:rsidRPr="005C691F" w:rsidRDefault="00061A5E" w:rsidP="00061A5E">
      <w:pPr>
        <w:rPr>
          <w:i/>
          <w:lang w:val="nl-NL"/>
        </w:rPr>
      </w:pPr>
      <w:r w:rsidRPr="005C691F">
        <w:rPr>
          <w:i/>
          <w:lang w:val="nl-NL"/>
        </w:rPr>
        <w:t xml:space="preserve">Waarom bestaat </w:t>
      </w:r>
      <w:r w:rsidR="0083700B">
        <w:rPr>
          <w:i/>
          <w:lang w:val="nl-NL"/>
        </w:rPr>
        <w:t>ons</w:t>
      </w:r>
      <w:r w:rsidR="0083700B" w:rsidRPr="005C691F">
        <w:rPr>
          <w:i/>
          <w:lang w:val="nl-NL"/>
        </w:rPr>
        <w:t xml:space="preserve"> </w:t>
      </w:r>
      <w:r w:rsidRPr="005C691F">
        <w:rPr>
          <w:i/>
          <w:lang w:val="nl-NL"/>
        </w:rPr>
        <w:t>fonds</w:t>
      </w:r>
      <w:r w:rsidR="004417F4">
        <w:rPr>
          <w:i/>
          <w:lang w:val="nl-NL"/>
        </w:rPr>
        <w:t xml:space="preserve"> (missie)</w:t>
      </w:r>
      <w:r w:rsidRPr="005C691F">
        <w:rPr>
          <w:i/>
          <w:lang w:val="nl-NL"/>
        </w:rPr>
        <w:t>?</w:t>
      </w:r>
    </w:p>
    <w:p w14:paraId="5BF10557" w14:textId="0308949E" w:rsidR="00061A5E" w:rsidRPr="005C691F" w:rsidRDefault="00681111" w:rsidP="00061A5E">
      <w:pPr>
        <w:rPr>
          <w:lang w:val="nl-NL"/>
        </w:rPr>
      </w:pPr>
      <w:r w:rsidRPr="00C6025F">
        <w:rPr>
          <w:lang w:val="nl-NL"/>
        </w:rPr>
        <w:t>Als (oud) medewerkers van ING stoppen met werken, willen ze het leven kunnen leiden dat ze voor ogen hebben. Dat geldt ook voor hun nabestaanden. Daarom zetten wij ons elke dag in voor een zo goed mogelijk pensioen op basis van de premie die de sociale partners van ING hebben afgesproken. We communiceren hierover in begrijpelijke taal en we helpen mensen in actie te komen op momenten dat dit relevant voor ze is</w:t>
      </w:r>
      <w:r>
        <w:rPr>
          <w:lang w:val="nl-NL"/>
        </w:rPr>
        <w:t>.</w:t>
      </w:r>
    </w:p>
    <w:p w14:paraId="4866C2AE" w14:textId="7B3A1463" w:rsidR="00061A5E" w:rsidRPr="005C691F" w:rsidRDefault="00061A5E" w:rsidP="00061A5E">
      <w:pPr>
        <w:rPr>
          <w:i/>
          <w:lang w:val="nl-NL"/>
        </w:rPr>
      </w:pPr>
      <w:r w:rsidRPr="005C691F">
        <w:rPr>
          <w:i/>
          <w:lang w:val="nl-NL"/>
        </w:rPr>
        <w:t xml:space="preserve">Wat is de visie van </w:t>
      </w:r>
      <w:r w:rsidR="0083700B">
        <w:rPr>
          <w:i/>
          <w:lang w:val="nl-NL"/>
        </w:rPr>
        <w:t>ons</w:t>
      </w:r>
      <w:r w:rsidR="0083700B" w:rsidRPr="005C691F">
        <w:rPr>
          <w:i/>
          <w:lang w:val="nl-NL"/>
        </w:rPr>
        <w:t xml:space="preserve"> </w:t>
      </w:r>
      <w:r w:rsidRPr="005C691F">
        <w:rPr>
          <w:i/>
          <w:lang w:val="nl-NL"/>
        </w:rPr>
        <w:t>fonds?</w:t>
      </w:r>
    </w:p>
    <w:p w14:paraId="317DAA2D" w14:textId="5C20EC41" w:rsidR="001021B9" w:rsidRDefault="00681111" w:rsidP="00061A5E">
      <w:pPr>
        <w:rPr>
          <w:lang w:val="nl-NL"/>
        </w:rPr>
      </w:pPr>
      <w:r w:rsidRPr="00C6025F">
        <w:rPr>
          <w:lang w:val="nl-NL"/>
        </w:rPr>
        <w:t xml:space="preserve">We leven in een dynamische wereld, waarbij de ontwikkeling van je pensioen kan mee- of tegenzitten. Pensioen is een belangrijke pijler van een financieel gezonde toekomst. We willen deze toekomst met bijbehorende keuzes voor </w:t>
      </w:r>
      <w:r>
        <w:rPr>
          <w:lang w:val="nl-NL"/>
        </w:rPr>
        <w:t>deelnemers</w:t>
      </w:r>
      <w:r w:rsidRPr="00C6025F">
        <w:rPr>
          <w:lang w:val="nl-NL"/>
        </w:rPr>
        <w:t xml:space="preserve"> toegankelijk en inzichtelijk maken zodat </w:t>
      </w:r>
      <w:r>
        <w:rPr>
          <w:lang w:val="nl-NL"/>
        </w:rPr>
        <w:t>z</w:t>
      </w:r>
      <w:r w:rsidRPr="00C6025F">
        <w:rPr>
          <w:lang w:val="nl-NL"/>
        </w:rPr>
        <w:t>e keuzes kun</w:t>
      </w:r>
      <w:r>
        <w:rPr>
          <w:lang w:val="nl-NL"/>
        </w:rPr>
        <w:t>nen</w:t>
      </w:r>
      <w:r w:rsidRPr="00C6025F">
        <w:rPr>
          <w:lang w:val="nl-NL"/>
        </w:rPr>
        <w:t xml:space="preserve"> maken die bij </w:t>
      </w:r>
      <w:r>
        <w:rPr>
          <w:lang w:val="nl-NL"/>
        </w:rPr>
        <w:t>hen</w:t>
      </w:r>
      <w:r w:rsidRPr="00C6025F">
        <w:rPr>
          <w:lang w:val="nl-NL"/>
        </w:rPr>
        <w:t xml:space="preserve"> passen</w:t>
      </w:r>
      <w:r>
        <w:rPr>
          <w:lang w:val="nl-NL"/>
        </w:rPr>
        <w:t>.</w:t>
      </w:r>
    </w:p>
    <w:p w14:paraId="75923793" w14:textId="77777777" w:rsidR="001021B9" w:rsidRDefault="001021B9" w:rsidP="001021B9">
      <w:pPr>
        <w:rPr>
          <w:i/>
          <w:lang w:val="nl-NL"/>
        </w:rPr>
      </w:pPr>
      <w:r>
        <w:rPr>
          <w:i/>
          <w:lang w:val="nl-NL"/>
        </w:rPr>
        <w:t>Welke doelen heeft ons fonds</w:t>
      </w:r>
      <w:r w:rsidRPr="005C691F">
        <w:rPr>
          <w:i/>
          <w:lang w:val="nl-NL"/>
        </w:rPr>
        <w:t>?</w:t>
      </w:r>
    </w:p>
    <w:p w14:paraId="056AFC9D" w14:textId="77777777" w:rsidR="001021B9" w:rsidRPr="005C691F" w:rsidRDefault="001021B9" w:rsidP="001021B9">
      <w:pPr>
        <w:rPr>
          <w:i/>
          <w:lang w:val="nl-NL"/>
        </w:rPr>
      </w:pPr>
    </w:p>
    <w:p w14:paraId="7469D066" w14:textId="77777777" w:rsidR="001021B9" w:rsidRPr="00681111" w:rsidRDefault="001021B9" w:rsidP="001021B9">
      <w:pPr>
        <w:numPr>
          <w:ilvl w:val="0"/>
          <w:numId w:val="52"/>
        </w:numPr>
        <w:rPr>
          <w:lang w:val="nl-NL"/>
        </w:rPr>
      </w:pPr>
      <w:r w:rsidRPr="00681111">
        <w:rPr>
          <w:lang w:val="nl-NL"/>
        </w:rPr>
        <w:t xml:space="preserve">We streven in ons beleggingsbeleid </w:t>
      </w:r>
      <w:r>
        <w:rPr>
          <w:lang w:val="nl-NL"/>
        </w:rPr>
        <w:t xml:space="preserve">naar </w:t>
      </w:r>
      <w:r w:rsidRPr="00681111">
        <w:rPr>
          <w:lang w:val="nl-NL"/>
        </w:rPr>
        <w:t xml:space="preserve">een goede balans tussen risico en rendement op basis van de wensen van onze deelnemers. </w:t>
      </w:r>
    </w:p>
    <w:p w14:paraId="1A6CD031" w14:textId="77777777" w:rsidR="001021B9" w:rsidRPr="00681111" w:rsidRDefault="001021B9" w:rsidP="001021B9">
      <w:pPr>
        <w:numPr>
          <w:ilvl w:val="0"/>
          <w:numId w:val="52"/>
        </w:numPr>
        <w:rPr>
          <w:lang w:val="nl-NL"/>
        </w:rPr>
      </w:pPr>
      <w:r w:rsidRPr="00681111">
        <w:rPr>
          <w:lang w:val="nl-NL"/>
        </w:rPr>
        <w:t>Het resultaat van onze communicatie is dat deelnemers begrijpen wat pensioen voor hen betekent, weten dat er keuzes zijn en in staat zijn deze keuzes bewust te maken.</w:t>
      </w:r>
    </w:p>
    <w:p w14:paraId="5B7BBA72" w14:textId="77777777" w:rsidR="001021B9" w:rsidRPr="00681111" w:rsidRDefault="001021B9" w:rsidP="001021B9">
      <w:pPr>
        <w:numPr>
          <w:ilvl w:val="0"/>
          <w:numId w:val="52"/>
        </w:numPr>
        <w:rPr>
          <w:lang w:val="nl-NL"/>
        </w:rPr>
      </w:pPr>
      <w:r w:rsidRPr="00681111">
        <w:rPr>
          <w:lang w:val="nl-NL"/>
        </w:rPr>
        <w:t>Het resultaat van onze dienstverlening is dat onze deelnemers deze als klantgericht, passend en persoonlijk ervaren.</w:t>
      </w:r>
    </w:p>
    <w:p w14:paraId="34AC8EAB" w14:textId="77777777" w:rsidR="001021B9" w:rsidRPr="00681111" w:rsidRDefault="001021B9" w:rsidP="001021B9">
      <w:pPr>
        <w:numPr>
          <w:ilvl w:val="0"/>
          <w:numId w:val="52"/>
        </w:numPr>
        <w:rPr>
          <w:lang w:val="nl-NL"/>
        </w:rPr>
      </w:pPr>
      <w:r w:rsidRPr="00681111">
        <w:rPr>
          <w:lang w:val="nl-NL"/>
        </w:rPr>
        <w:t>Een constructieve relatie met onze uitbestedingspartners is van belang om succesvol te zijn in het uitvoeren van onze missie.</w:t>
      </w:r>
    </w:p>
    <w:p w14:paraId="2988E58A" w14:textId="77777777" w:rsidR="001021B9" w:rsidRPr="005C691F" w:rsidRDefault="001021B9" w:rsidP="00061A5E">
      <w:pPr>
        <w:rPr>
          <w:lang w:val="nl-NL"/>
        </w:rPr>
      </w:pPr>
    </w:p>
    <w:p w14:paraId="3500FB9C" w14:textId="761469EE" w:rsidR="00061A5E" w:rsidRPr="005C691F" w:rsidRDefault="00061A5E" w:rsidP="00061A5E">
      <w:pPr>
        <w:rPr>
          <w:lang w:val="nl-NL"/>
        </w:rPr>
      </w:pPr>
    </w:p>
    <w:p w14:paraId="01C1585B" w14:textId="1BD53971" w:rsidR="00061A5E" w:rsidRPr="005C691F" w:rsidRDefault="005824B9" w:rsidP="00061A5E">
      <w:pPr>
        <w:rPr>
          <w:i/>
          <w:lang w:val="nl-NL"/>
        </w:rPr>
      </w:pPr>
      <w:r>
        <w:rPr>
          <w:i/>
          <w:lang w:val="nl-NL"/>
        </w:rPr>
        <w:t>Hoe bereikt ons</w:t>
      </w:r>
      <w:r w:rsidR="00681111">
        <w:rPr>
          <w:i/>
          <w:lang w:val="nl-NL"/>
        </w:rPr>
        <w:t xml:space="preserve"> fonds</w:t>
      </w:r>
      <w:r>
        <w:rPr>
          <w:i/>
          <w:lang w:val="nl-NL"/>
        </w:rPr>
        <w:t xml:space="preserve"> zijn doelen</w:t>
      </w:r>
      <w:r w:rsidR="00186B9E">
        <w:rPr>
          <w:i/>
          <w:lang w:val="nl-NL"/>
        </w:rPr>
        <w:t xml:space="preserve"> (strategie)</w:t>
      </w:r>
      <w:r w:rsidR="00061A5E" w:rsidRPr="005C691F">
        <w:rPr>
          <w:i/>
          <w:lang w:val="nl-NL"/>
        </w:rPr>
        <w:t>?</w:t>
      </w:r>
    </w:p>
    <w:p w14:paraId="2B31C139" w14:textId="77777777" w:rsidR="00681111" w:rsidRPr="00681111" w:rsidRDefault="00681111" w:rsidP="00681111">
      <w:pPr>
        <w:numPr>
          <w:ilvl w:val="0"/>
          <w:numId w:val="50"/>
        </w:numPr>
        <w:rPr>
          <w:lang w:val="nl-NL"/>
        </w:rPr>
      </w:pPr>
      <w:r w:rsidRPr="00681111">
        <w:rPr>
          <w:lang w:val="nl-NL"/>
        </w:rPr>
        <w:t>We voeren een pensioenregeling met collectieve en individuele keuzes.</w:t>
      </w:r>
    </w:p>
    <w:p w14:paraId="2ECE5F01" w14:textId="77777777" w:rsidR="00681111" w:rsidRPr="00681111" w:rsidRDefault="00681111" w:rsidP="00681111">
      <w:pPr>
        <w:numPr>
          <w:ilvl w:val="0"/>
          <w:numId w:val="50"/>
        </w:numPr>
        <w:rPr>
          <w:lang w:val="nl-NL"/>
        </w:rPr>
      </w:pPr>
      <w:r w:rsidRPr="00681111">
        <w:rPr>
          <w:lang w:val="nl-NL"/>
        </w:rPr>
        <w:t>We dragen met een uitgebalanceerd beleggingsbeleid bij aan de financiële gezondheid van onze deelnemers.</w:t>
      </w:r>
    </w:p>
    <w:p w14:paraId="3E1F8527" w14:textId="77777777" w:rsidR="00681111" w:rsidRPr="00681111" w:rsidRDefault="00681111" w:rsidP="00681111">
      <w:pPr>
        <w:numPr>
          <w:ilvl w:val="0"/>
          <w:numId w:val="50"/>
        </w:numPr>
        <w:rPr>
          <w:lang w:val="nl-NL"/>
        </w:rPr>
      </w:pPr>
      <w:r w:rsidRPr="00681111">
        <w:rPr>
          <w:lang w:val="nl-NL"/>
        </w:rPr>
        <w:t>We maken pensioen relevant, begrijpelijk en toegankelijk door de inzet van mensen en digitale middelen.</w:t>
      </w:r>
    </w:p>
    <w:p w14:paraId="5A43F033" w14:textId="77777777" w:rsidR="00681111" w:rsidRPr="00681111" w:rsidRDefault="00681111" w:rsidP="00681111">
      <w:pPr>
        <w:numPr>
          <w:ilvl w:val="0"/>
          <w:numId w:val="50"/>
        </w:numPr>
        <w:rPr>
          <w:lang w:val="nl-NL"/>
        </w:rPr>
      </w:pPr>
      <w:r w:rsidRPr="00681111">
        <w:rPr>
          <w:lang w:val="nl-NL"/>
        </w:rPr>
        <w:t xml:space="preserve">We helpen deelnemers met het begrijpen en maken van keuzes die passen bij hun levensfase, draagkracht, wensen en behoeften. </w:t>
      </w:r>
    </w:p>
    <w:p w14:paraId="7B62B5DB" w14:textId="77777777" w:rsidR="00681111" w:rsidRPr="00681111" w:rsidRDefault="00681111" w:rsidP="00681111">
      <w:pPr>
        <w:numPr>
          <w:ilvl w:val="0"/>
          <w:numId w:val="50"/>
        </w:numPr>
        <w:rPr>
          <w:lang w:val="nl-NL"/>
        </w:rPr>
      </w:pPr>
      <w:r w:rsidRPr="00681111">
        <w:rPr>
          <w:lang w:val="nl-NL"/>
        </w:rPr>
        <w:t xml:space="preserve">We zetten ons in voor een beheerste en evenwichtige transitie naar het nieuwe pensioenstelsel. </w:t>
      </w:r>
    </w:p>
    <w:p w14:paraId="40021355" w14:textId="77777777" w:rsidR="00681111" w:rsidRDefault="00681111" w:rsidP="00061A5E">
      <w:pPr>
        <w:rPr>
          <w:lang w:val="nl-NL"/>
        </w:rPr>
      </w:pPr>
    </w:p>
    <w:p w14:paraId="1EC56061" w14:textId="4A1DFAD7" w:rsidR="00681111" w:rsidRDefault="00D337FA" w:rsidP="00061A5E">
      <w:pPr>
        <w:rPr>
          <w:lang w:val="nl-NL"/>
        </w:rPr>
      </w:pPr>
      <w:r>
        <w:rPr>
          <w:lang w:val="nl-NL"/>
        </w:rPr>
        <w:t>D</w:t>
      </w:r>
      <w:r w:rsidR="00681111">
        <w:rPr>
          <w:lang w:val="nl-NL"/>
        </w:rPr>
        <w:t xml:space="preserve">e uitvoering van de strategie </w:t>
      </w:r>
      <w:r w:rsidR="005F3430">
        <w:rPr>
          <w:lang w:val="nl-NL"/>
        </w:rPr>
        <w:t>is</w:t>
      </w:r>
      <w:r>
        <w:rPr>
          <w:lang w:val="nl-NL"/>
        </w:rPr>
        <w:t xml:space="preserve"> mogelijk door</w:t>
      </w:r>
      <w:r w:rsidR="005F3430">
        <w:rPr>
          <w:lang w:val="nl-NL"/>
        </w:rPr>
        <w:t xml:space="preserve"> (enablers)</w:t>
      </w:r>
      <w:r w:rsidR="00681111">
        <w:rPr>
          <w:lang w:val="nl-NL"/>
        </w:rPr>
        <w:t>:</w:t>
      </w:r>
    </w:p>
    <w:p w14:paraId="1EB6E817" w14:textId="77777777" w:rsidR="00681111" w:rsidRDefault="00681111" w:rsidP="00061A5E">
      <w:pPr>
        <w:rPr>
          <w:lang w:val="nl-NL"/>
        </w:rPr>
      </w:pPr>
    </w:p>
    <w:p w14:paraId="44865705" w14:textId="77777777" w:rsidR="00681111" w:rsidRPr="00681111" w:rsidRDefault="00681111" w:rsidP="00681111">
      <w:pPr>
        <w:numPr>
          <w:ilvl w:val="0"/>
          <w:numId w:val="51"/>
        </w:numPr>
        <w:rPr>
          <w:lang w:val="nl-NL"/>
        </w:rPr>
      </w:pPr>
      <w:r w:rsidRPr="00681111">
        <w:rPr>
          <w:lang w:val="nl-NL"/>
        </w:rPr>
        <w:lastRenderedPageBreak/>
        <w:t>We blijven ons inzetten voor de efficiënte uitvoering van een eenvoudige regeling omdat dit de inzichtelijkheid vergroot en de kosten verlaagt. We creëren draagvlak door zichtbaar te maken welke risico’s dit heeft voor onze deelnemers.</w:t>
      </w:r>
    </w:p>
    <w:p w14:paraId="70C52EA9" w14:textId="77777777" w:rsidR="00681111" w:rsidRPr="00681111" w:rsidRDefault="00681111" w:rsidP="00681111">
      <w:pPr>
        <w:numPr>
          <w:ilvl w:val="0"/>
          <w:numId w:val="51"/>
        </w:numPr>
        <w:rPr>
          <w:lang w:val="nl-NL"/>
        </w:rPr>
      </w:pPr>
      <w:r w:rsidRPr="00681111">
        <w:rPr>
          <w:lang w:val="nl-NL"/>
        </w:rPr>
        <w:t>We creëren draagvlak door samenwerking in operatie en communicatie met onze stakeholders.</w:t>
      </w:r>
    </w:p>
    <w:p w14:paraId="7E5FC31E" w14:textId="77777777" w:rsidR="00681111" w:rsidRDefault="00681111" w:rsidP="00061A5E">
      <w:pPr>
        <w:rPr>
          <w:lang w:val="nl-NL"/>
        </w:rPr>
      </w:pPr>
    </w:p>
    <w:p w14:paraId="00DBD5C0" w14:textId="1F86CEE9" w:rsidR="00681111" w:rsidRPr="00681111" w:rsidRDefault="00681111" w:rsidP="00C6025F">
      <w:pPr>
        <w:ind w:left="720"/>
        <w:rPr>
          <w:lang w:val="nl-NL"/>
        </w:rPr>
      </w:pPr>
    </w:p>
    <w:p w14:paraId="376EE858" w14:textId="77777777" w:rsidR="00061A5E" w:rsidRDefault="00061A5E" w:rsidP="00061A5E">
      <w:pPr>
        <w:rPr>
          <w:lang w:val="nl-NL"/>
        </w:rPr>
      </w:pPr>
    </w:p>
    <w:p w14:paraId="34D4587A" w14:textId="609097F7" w:rsidR="00061A5E" w:rsidRDefault="00673CD3" w:rsidP="00EA4E15">
      <w:pPr>
        <w:pStyle w:val="Kop2"/>
        <w:rPr>
          <w:rFonts w:hint="eastAsia"/>
          <w:lang w:val="nl-NL"/>
        </w:rPr>
      </w:pPr>
      <w:bookmarkStart w:id="10" w:name="_Toc231804737"/>
      <w:r>
        <w:rPr>
          <w:lang w:val="nl-NL"/>
        </w:rPr>
        <w:t>Uitgangspunten van Stichting ING CDC Pensioenfonds</w:t>
      </w:r>
      <w:bookmarkEnd w:id="10"/>
      <w:r w:rsidR="00726458">
        <w:rPr>
          <w:lang w:val="nl-NL"/>
        </w:rPr>
        <w:t xml:space="preserve"> </w:t>
      </w:r>
    </w:p>
    <w:p w14:paraId="5153185C" w14:textId="68A2E5B7" w:rsidR="00A20C63" w:rsidRPr="00A20C63" w:rsidRDefault="00061A5E" w:rsidP="00061A5E">
      <w:pPr>
        <w:rPr>
          <w:lang w:val="nl-NL"/>
        </w:rPr>
      </w:pPr>
      <w:r w:rsidRPr="005C691F">
        <w:rPr>
          <w:lang w:val="nl-NL"/>
        </w:rPr>
        <w:br/>
      </w:r>
      <w:r w:rsidR="00A20C63" w:rsidRPr="00A20C63">
        <w:rPr>
          <w:lang w:val="nl-NL"/>
        </w:rPr>
        <w:t xml:space="preserve">De uitgangspunten van het beleid van </w:t>
      </w:r>
      <w:r w:rsidR="00DE58C2">
        <w:rPr>
          <w:lang w:val="nl-NL"/>
        </w:rPr>
        <w:t xml:space="preserve">ons </w:t>
      </w:r>
      <w:r w:rsidR="001B2EC0">
        <w:rPr>
          <w:lang w:val="nl-NL"/>
        </w:rPr>
        <w:t>fonds</w:t>
      </w:r>
      <w:r w:rsidR="00A20C63" w:rsidRPr="00A20C63">
        <w:rPr>
          <w:lang w:val="nl-NL"/>
        </w:rPr>
        <w:t xml:space="preserve"> zijn een verlengde en een nadere uitwerking van de statutaire doelstelling van </w:t>
      </w:r>
      <w:r w:rsidR="00DE58C2">
        <w:rPr>
          <w:lang w:val="nl-NL"/>
        </w:rPr>
        <w:t>ons</w:t>
      </w:r>
      <w:r w:rsidR="00DE58C2" w:rsidRPr="00A20C63">
        <w:rPr>
          <w:lang w:val="nl-NL"/>
        </w:rPr>
        <w:t xml:space="preserve"> </w:t>
      </w:r>
      <w:r w:rsidR="00A20C63" w:rsidRPr="00A20C63">
        <w:rPr>
          <w:lang w:val="nl-NL"/>
        </w:rPr>
        <w:t xml:space="preserve">fonds: het uitvoeren van CDC pensioenregelingen van ING en zijn groepsmaatschappijen. Bij de oprichting van </w:t>
      </w:r>
      <w:r w:rsidR="00DE58C2">
        <w:rPr>
          <w:lang w:val="nl-NL"/>
        </w:rPr>
        <w:t>ons</w:t>
      </w:r>
      <w:r w:rsidR="00DE58C2" w:rsidRPr="00A20C63">
        <w:rPr>
          <w:lang w:val="nl-NL"/>
        </w:rPr>
        <w:t xml:space="preserve"> </w:t>
      </w:r>
      <w:r w:rsidR="00A20C63" w:rsidRPr="00A20C63">
        <w:rPr>
          <w:lang w:val="nl-NL"/>
        </w:rPr>
        <w:t xml:space="preserve">fonds en bij de onderbrenging van de </w:t>
      </w:r>
      <w:r w:rsidR="00C26D62">
        <w:rPr>
          <w:lang w:val="nl-NL"/>
        </w:rPr>
        <w:t>CDC-pensioenregeling</w:t>
      </w:r>
      <w:r w:rsidR="00A20C63" w:rsidRPr="00A20C63">
        <w:rPr>
          <w:lang w:val="nl-NL"/>
        </w:rPr>
        <w:t xml:space="preserve"> zijn de omgevingscondities gecreëerd die – zeker in de voorzienbare toekomst – bepalend zijn voor de uitgangspunten van het te voeren beleggingsbeleid, de risicohouding, het pensioen- en communicatiebeleid, het uitbestedingsbeleid en de organisatie-inrichting van </w:t>
      </w:r>
      <w:r w:rsidR="00DE58C2">
        <w:rPr>
          <w:lang w:val="nl-NL"/>
        </w:rPr>
        <w:t xml:space="preserve">ons </w:t>
      </w:r>
      <w:r w:rsidR="001B2EC0">
        <w:rPr>
          <w:lang w:val="nl-NL"/>
        </w:rPr>
        <w:t>fonds</w:t>
      </w:r>
      <w:r w:rsidR="00A20C63" w:rsidRPr="00A20C63">
        <w:rPr>
          <w:lang w:val="nl-NL"/>
        </w:rPr>
        <w:t>. Va</w:t>
      </w:r>
      <w:r w:rsidR="001656BC">
        <w:rPr>
          <w:lang w:val="nl-NL"/>
        </w:rPr>
        <w:t>n belang hierbij zijn met name:</w:t>
      </w:r>
    </w:p>
    <w:p w14:paraId="7BDA6BAB" w14:textId="37255527" w:rsidR="00A20C63" w:rsidRPr="001656BC" w:rsidRDefault="00DE58C2" w:rsidP="00070E59">
      <w:pPr>
        <w:pStyle w:val="Lijstalinea"/>
        <w:numPr>
          <w:ilvl w:val="0"/>
          <w:numId w:val="3"/>
        </w:numPr>
        <w:rPr>
          <w:lang w:val="nl-NL"/>
        </w:rPr>
      </w:pPr>
      <w:r>
        <w:rPr>
          <w:lang w:val="nl-NL"/>
        </w:rPr>
        <w:t xml:space="preserve">Ons </w:t>
      </w:r>
      <w:r w:rsidR="001B2EC0">
        <w:rPr>
          <w:lang w:val="nl-NL"/>
        </w:rPr>
        <w:t>fonds</w:t>
      </w:r>
      <w:r w:rsidR="00A20C63" w:rsidRPr="001656BC">
        <w:rPr>
          <w:lang w:val="nl-NL"/>
        </w:rPr>
        <w:t xml:space="preserve"> is gestart zonder een (collectieve) waardeoverdracht vanuit Pensioenfonds ING en zonder een startkapitaal of beginbalans: de fondsbalans wordt sinds 1 januari 2014 van maand tot maand opgebouwd vanuit de sinds 1 januari 2014 toegekende pensioenrechten. Daardoor bevinden de bij </w:t>
      </w:r>
      <w:r>
        <w:rPr>
          <w:lang w:val="nl-NL"/>
        </w:rPr>
        <w:t xml:space="preserve">ons </w:t>
      </w:r>
      <w:r w:rsidR="001B2EC0">
        <w:rPr>
          <w:lang w:val="nl-NL"/>
        </w:rPr>
        <w:t>fonds</w:t>
      </w:r>
      <w:r w:rsidR="00A20C63" w:rsidRPr="001656BC">
        <w:rPr>
          <w:lang w:val="nl-NL"/>
        </w:rPr>
        <w:t xml:space="preserve"> ondergebrachte pensioenen zich nagenoeg volledig in de opbouwfase van de verzekerden. Dit betekent dat </w:t>
      </w:r>
      <w:r>
        <w:rPr>
          <w:lang w:val="nl-NL"/>
        </w:rPr>
        <w:t>we</w:t>
      </w:r>
      <w:r w:rsidR="00A20C63" w:rsidRPr="001656BC">
        <w:rPr>
          <w:lang w:val="nl-NL"/>
        </w:rPr>
        <w:t xml:space="preserve"> een op lange termijn gericht beleggingsbeleid </w:t>
      </w:r>
      <w:r w:rsidR="00277A7B">
        <w:rPr>
          <w:lang w:val="nl-NL"/>
        </w:rPr>
        <w:t>en renteafdekkingsbeleid voer</w:t>
      </w:r>
      <w:r>
        <w:rPr>
          <w:lang w:val="nl-NL"/>
        </w:rPr>
        <w:t>en</w:t>
      </w:r>
      <w:r w:rsidR="00277A7B">
        <w:rPr>
          <w:lang w:val="nl-NL"/>
        </w:rPr>
        <w:t xml:space="preserve">. </w:t>
      </w:r>
    </w:p>
    <w:p w14:paraId="05616EB1" w14:textId="53210A8D" w:rsidR="00A20C63" w:rsidRPr="001656BC" w:rsidRDefault="00DE58C2" w:rsidP="00070E59">
      <w:pPr>
        <w:pStyle w:val="Lijstalinea"/>
        <w:numPr>
          <w:ilvl w:val="0"/>
          <w:numId w:val="3"/>
        </w:numPr>
        <w:rPr>
          <w:lang w:val="nl-NL"/>
        </w:rPr>
      </w:pPr>
      <w:r>
        <w:rPr>
          <w:lang w:val="nl-NL"/>
        </w:rPr>
        <w:t xml:space="preserve">Ons </w:t>
      </w:r>
      <w:r w:rsidR="001B2EC0">
        <w:rPr>
          <w:lang w:val="nl-NL"/>
        </w:rPr>
        <w:t>fonds</w:t>
      </w:r>
      <w:r w:rsidR="00A20C63" w:rsidRPr="001656BC">
        <w:rPr>
          <w:lang w:val="nl-NL"/>
        </w:rPr>
        <w:t xml:space="preserve"> is een ondernemingspensioenfonds ten behoeve van ING en zijn groepsmaatschappijen. </w:t>
      </w:r>
      <w:r w:rsidR="004C5A55">
        <w:rPr>
          <w:lang w:val="nl-NL"/>
        </w:rPr>
        <w:t>Ons</w:t>
      </w:r>
      <w:r w:rsidR="004C5A55" w:rsidRPr="001656BC">
        <w:rPr>
          <w:lang w:val="nl-NL"/>
        </w:rPr>
        <w:t xml:space="preserve"> </w:t>
      </w:r>
      <w:r w:rsidR="00A20C63" w:rsidRPr="001656BC">
        <w:rPr>
          <w:lang w:val="nl-NL"/>
        </w:rPr>
        <w:t>fonds is daarmee uitvoerder van een arbeidsvoorwaarde (pensioen)</w:t>
      </w:r>
      <w:r w:rsidR="004C5A55">
        <w:rPr>
          <w:lang w:val="nl-NL"/>
        </w:rPr>
        <w:t>. We richten</w:t>
      </w:r>
      <w:r w:rsidR="00532E6D">
        <w:rPr>
          <w:lang w:val="nl-NL"/>
        </w:rPr>
        <w:t xml:space="preserve"> </w:t>
      </w:r>
      <w:r w:rsidR="004C5A55">
        <w:rPr>
          <w:lang w:val="nl-NL"/>
        </w:rPr>
        <w:t>ons</w:t>
      </w:r>
      <w:r w:rsidR="00A20C63" w:rsidRPr="001656BC">
        <w:rPr>
          <w:lang w:val="nl-NL"/>
        </w:rPr>
        <w:t xml:space="preserve"> in </w:t>
      </w:r>
      <w:r w:rsidR="004C5A55">
        <w:rPr>
          <w:lang w:val="nl-NL"/>
        </w:rPr>
        <w:t>het</w:t>
      </w:r>
      <w:r w:rsidR="004C5A55" w:rsidRPr="001656BC">
        <w:rPr>
          <w:lang w:val="nl-NL"/>
        </w:rPr>
        <w:t xml:space="preserve"> </w:t>
      </w:r>
      <w:r w:rsidR="00A20C63" w:rsidRPr="001656BC">
        <w:rPr>
          <w:lang w:val="nl-NL"/>
        </w:rPr>
        <w:t xml:space="preserve">beleid en uitvoering uitsluitend op de kerntaak van een optimale en kostenefficiënte uitvoering van de bij </w:t>
      </w:r>
      <w:r w:rsidR="004C5A55">
        <w:rPr>
          <w:lang w:val="nl-NL"/>
        </w:rPr>
        <w:t>ons</w:t>
      </w:r>
      <w:r w:rsidR="004C5A55" w:rsidRPr="001656BC">
        <w:rPr>
          <w:lang w:val="nl-NL"/>
        </w:rPr>
        <w:t xml:space="preserve"> </w:t>
      </w:r>
      <w:r w:rsidR="00A20C63" w:rsidRPr="001656BC">
        <w:rPr>
          <w:lang w:val="nl-NL"/>
        </w:rPr>
        <w:t>ondergebrachte CDC pensioenregeling(en) van ING.</w:t>
      </w:r>
    </w:p>
    <w:p w14:paraId="05E0419D" w14:textId="3F0EAEED" w:rsidR="00A20C63" w:rsidRPr="001656BC" w:rsidRDefault="004C5A55" w:rsidP="00070E59">
      <w:pPr>
        <w:pStyle w:val="Lijstalinea"/>
        <w:numPr>
          <w:ilvl w:val="0"/>
          <w:numId w:val="3"/>
        </w:numPr>
        <w:rPr>
          <w:lang w:val="nl-NL"/>
        </w:rPr>
      </w:pPr>
      <w:r>
        <w:rPr>
          <w:lang w:val="nl-NL"/>
        </w:rPr>
        <w:t xml:space="preserve">Ons </w:t>
      </w:r>
      <w:r w:rsidR="001B2EC0">
        <w:rPr>
          <w:lang w:val="nl-NL"/>
        </w:rPr>
        <w:t>fonds</w:t>
      </w:r>
      <w:r w:rsidR="00A20C63" w:rsidRPr="001656BC">
        <w:rPr>
          <w:lang w:val="nl-NL"/>
        </w:rPr>
        <w:t xml:space="preserve"> </w:t>
      </w:r>
      <w:r w:rsidR="00277A7B">
        <w:rPr>
          <w:lang w:val="nl-NL"/>
        </w:rPr>
        <w:t>voert een</w:t>
      </w:r>
      <w:r w:rsidR="00A20C63" w:rsidRPr="001656BC">
        <w:rPr>
          <w:lang w:val="nl-NL"/>
        </w:rPr>
        <w:t xml:space="preserve"> beleid dat erop is gericht dat het CDC-karakter van </w:t>
      </w:r>
      <w:r>
        <w:rPr>
          <w:lang w:val="nl-NL"/>
        </w:rPr>
        <w:t>ons</w:t>
      </w:r>
      <w:r w:rsidRPr="001656BC">
        <w:rPr>
          <w:lang w:val="nl-NL"/>
        </w:rPr>
        <w:t xml:space="preserve"> </w:t>
      </w:r>
      <w:r w:rsidR="00A20C63" w:rsidRPr="001656BC">
        <w:rPr>
          <w:lang w:val="nl-NL"/>
        </w:rPr>
        <w:t>fonds niet in gevaar komt en onthoud</w:t>
      </w:r>
      <w:r w:rsidR="00277A7B">
        <w:rPr>
          <w:lang w:val="nl-NL"/>
        </w:rPr>
        <w:t>t zich</w:t>
      </w:r>
      <w:r w:rsidR="00A20C63" w:rsidRPr="001656BC">
        <w:rPr>
          <w:lang w:val="nl-NL"/>
        </w:rPr>
        <w:t xml:space="preserve"> van handelingen die het CDC-karakter kunnen aantasten.</w:t>
      </w:r>
    </w:p>
    <w:p w14:paraId="0741D830" w14:textId="12687694" w:rsidR="00A20C63" w:rsidRPr="001656BC" w:rsidRDefault="004C5A55" w:rsidP="00070E59">
      <w:pPr>
        <w:pStyle w:val="Lijstalinea"/>
        <w:numPr>
          <w:ilvl w:val="0"/>
          <w:numId w:val="3"/>
        </w:numPr>
        <w:rPr>
          <w:lang w:val="nl-NL"/>
        </w:rPr>
      </w:pPr>
      <w:r>
        <w:rPr>
          <w:lang w:val="nl-NL"/>
        </w:rPr>
        <w:t xml:space="preserve">Ons </w:t>
      </w:r>
      <w:r w:rsidR="001B2EC0">
        <w:rPr>
          <w:lang w:val="nl-NL"/>
        </w:rPr>
        <w:t>fonds</w:t>
      </w:r>
      <w:r w:rsidR="00A20C63" w:rsidRPr="001656BC">
        <w:rPr>
          <w:lang w:val="nl-NL"/>
        </w:rPr>
        <w:t xml:space="preserve"> heeft tot </w:t>
      </w:r>
      <w:r w:rsidR="003A5982">
        <w:rPr>
          <w:lang w:val="nl-NL"/>
        </w:rPr>
        <w:t>doelstelling</w:t>
      </w:r>
      <w:r w:rsidR="003A5982" w:rsidRPr="001656BC">
        <w:rPr>
          <w:lang w:val="nl-NL"/>
        </w:rPr>
        <w:t xml:space="preserve"> </w:t>
      </w:r>
      <w:r w:rsidR="00A20C63" w:rsidRPr="001656BC">
        <w:rPr>
          <w:lang w:val="nl-NL"/>
        </w:rPr>
        <w:t xml:space="preserve">om bij te dragen aan het koopkrachtbehoud van de bij </w:t>
      </w:r>
      <w:r>
        <w:rPr>
          <w:lang w:val="nl-NL"/>
        </w:rPr>
        <w:t>ons</w:t>
      </w:r>
      <w:r w:rsidRPr="001656BC">
        <w:rPr>
          <w:lang w:val="nl-NL"/>
        </w:rPr>
        <w:t xml:space="preserve"> </w:t>
      </w:r>
      <w:r w:rsidR="00A20C63" w:rsidRPr="001656BC">
        <w:rPr>
          <w:lang w:val="nl-NL"/>
        </w:rPr>
        <w:t xml:space="preserve">ondergebrachte pensioenen. Dit betekent dat het beleggingsbeleid niet uitsluitend gericht is op een kostenefficiënte uitvoering van de nominale rechten en op het beschermen daarvan, maar dat </w:t>
      </w:r>
      <w:r>
        <w:rPr>
          <w:lang w:val="nl-NL"/>
        </w:rPr>
        <w:t>we</w:t>
      </w:r>
      <w:r w:rsidR="00A20C63" w:rsidRPr="001656BC">
        <w:rPr>
          <w:lang w:val="nl-NL"/>
        </w:rPr>
        <w:t xml:space="preserve"> in </w:t>
      </w:r>
      <w:r>
        <w:rPr>
          <w:lang w:val="nl-NL"/>
        </w:rPr>
        <w:t>ons</w:t>
      </w:r>
      <w:r w:rsidRPr="001656BC">
        <w:rPr>
          <w:lang w:val="nl-NL"/>
        </w:rPr>
        <w:t xml:space="preserve"> </w:t>
      </w:r>
      <w:r w:rsidR="00A20C63" w:rsidRPr="001656BC">
        <w:rPr>
          <w:lang w:val="nl-NL"/>
        </w:rPr>
        <w:t>beleggingsbeleid een rendementsstreven inbouw</w:t>
      </w:r>
      <w:r>
        <w:rPr>
          <w:lang w:val="nl-NL"/>
        </w:rPr>
        <w:t>en</w:t>
      </w:r>
      <w:r w:rsidR="00A20C63" w:rsidRPr="001656BC">
        <w:rPr>
          <w:lang w:val="nl-NL"/>
        </w:rPr>
        <w:t xml:space="preserve"> waarbij nominale zekerheden en toeslagambities evenwichtig worden gebalanceerd. </w:t>
      </w:r>
    </w:p>
    <w:p w14:paraId="040F6D1A" w14:textId="738F4850" w:rsidR="00A20C63" w:rsidRPr="001656BC" w:rsidRDefault="004C5A55" w:rsidP="00070E59">
      <w:pPr>
        <w:pStyle w:val="Lijstalinea"/>
        <w:numPr>
          <w:ilvl w:val="0"/>
          <w:numId w:val="3"/>
        </w:numPr>
        <w:rPr>
          <w:lang w:val="nl-NL"/>
        </w:rPr>
      </w:pPr>
      <w:r>
        <w:rPr>
          <w:lang w:val="nl-NL"/>
        </w:rPr>
        <w:t xml:space="preserve">Ons </w:t>
      </w:r>
      <w:r w:rsidR="001B2EC0">
        <w:rPr>
          <w:lang w:val="nl-NL"/>
        </w:rPr>
        <w:t>fonds</w:t>
      </w:r>
      <w:r w:rsidR="00A20C63" w:rsidRPr="001656BC">
        <w:rPr>
          <w:lang w:val="nl-NL"/>
        </w:rPr>
        <w:t xml:space="preserve"> is ervan doordrongen dat bij een </w:t>
      </w:r>
      <w:r w:rsidR="00C26D62">
        <w:rPr>
          <w:lang w:val="nl-NL"/>
        </w:rPr>
        <w:t>CDC-pensioenregeling</w:t>
      </w:r>
      <w:r w:rsidR="008C0DAB">
        <w:rPr>
          <w:lang w:val="nl-NL"/>
        </w:rPr>
        <w:t xml:space="preserve"> de premie geen sturingsmiddel</w:t>
      </w:r>
      <w:r w:rsidR="00A20C63" w:rsidRPr="001656BC">
        <w:rPr>
          <w:lang w:val="nl-NL"/>
        </w:rPr>
        <w:t xml:space="preserve"> is</w:t>
      </w:r>
      <w:r>
        <w:rPr>
          <w:lang w:val="nl-NL"/>
        </w:rPr>
        <w:t>,</w:t>
      </w:r>
      <w:r w:rsidR="00A20C63" w:rsidRPr="001656BC">
        <w:rPr>
          <w:lang w:val="nl-NL"/>
        </w:rPr>
        <w:t xml:space="preserve"> dat deelnemers collectief aan beleggingsrisico blootstaan en dat binnen het deelnemerscollectief verplicht sprake is van solidariteit. </w:t>
      </w:r>
      <w:r>
        <w:rPr>
          <w:lang w:val="nl-NL"/>
        </w:rPr>
        <w:t>We zijn</w:t>
      </w:r>
      <w:r w:rsidR="00A20C63" w:rsidRPr="001656BC">
        <w:rPr>
          <w:lang w:val="nl-NL"/>
        </w:rPr>
        <w:t xml:space="preserve"> volledig transparant naar de verzekerden over de gelopen risico’s en de gemaakte uitvoeringskosten en </w:t>
      </w:r>
      <w:r>
        <w:rPr>
          <w:lang w:val="nl-NL"/>
        </w:rPr>
        <w:t>we</w:t>
      </w:r>
      <w:r w:rsidR="00A20C63" w:rsidRPr="001656BC">
        <w:rPr>
          <w:lang w:val="nl-NL"/>
        </w:rPr>
        <w:t xml:space="preserve"> </w:t>
      </w:r>
      <w:r w:rsidR="00277A7B">
        <w:rPr>
          <w:lang w:val="nl-NL"/>
        </w:rPr>
        <w:t>houd</w:t>
      </w:r>
      <w:r>
        <w:rPr>
          <w:lang w:val="nl-NL"/>
        </w:rPr>
        <w:t>en</w:t>
      </w:r>
      <w:r w:rsidR="00277A7B">
        <w:rPr>
          <w:lang w:val="nl-NL"/>
        </w:rPr>
        <w:t xml:space="preserve"> in </w:t>
      </w:r>
      <w:r>
        <w:rPr>
          <w:lang w:val="nl-NL"/>
        </w:rPr>
        <w:t xml:space="preserve">ons </w:t>
      </w:r>
      <w:r w:rsidR="00277A7B">
        <w:rPr>
          <w:lang w:val="nl-NL"/>
        </w:rPr>
        <w:t>beleid rekening met evenwichtige belangenafweging.</w:t>
      </w:r>
    </w:p>
    <w:p w14:paraId="5ED932BE" w14:textId="713ADC18" w:rsidR="00A20C63" w:rsidRPr="001656BC" w:rsidRDefault="00A20C63" w:rsidP="00070E59">
      <w:pPr>
        <w:pStyle w:val="Lijstalinea"/>
        <w:numPr>
          <w:ilvl w:val="0"/>
          <w:numId w:val="3"/>
        </w:numPr>
        <w:rPr>
          <w:lang w:val="nl-NL"/>
        </w:rPr>
      </w:pPr>
      <w:r w:rsidRPr="001656BC">
        <w:rPr>
          <w:lang w:val="nl-NL"/>
        </w:rPr>
        <w:t xml:space="preserve">Bij een </w:t>
      </w:r>
      <w:r w:rsidR="00C26D62">
        <w:rPr>
          <w:lang w:val="nl-NL"/>
        </w:rPr>
        <w:t>CDC-pensioenregeling</w:t>
      </w:r>
      <w:r w:rsidRPr="001656BC">
        <w:rPr>
          <w:lang w:val="nl-NL"/>
        </w:rPr>
        <w:t xml:space="preserve"> begrenst ING zijn pensioenrisico en zijn de beleggings- en langlevenrisico’s overgedragen aan het verzekerdencollectief: </w:t>
      </w:r>
      <w:r w:rsidR="004C5A55">
        <w:rPr>
          <w:lang w:val="nl-NL"/>
        </w:rPr>
        <w:t>we</w:t>
      </w:r>
      <w:r w:rsidRPr="001656BC">
        <w:rPr>
          <w:lang w:val="nl-NL"/>
        </w:rPr>
        <w:t xml:space="preserve"> richt</w:t>
      </w:r>
      <w:r w:rsidR="004C5A55">
        <w:rPr>
          <w:lang w:val="nl-NL"/>
        </w:rPr>
        <w:t>en</w:t>
      </w:r>
      <w:r w:rsidRPr="001656BC">
        <w:rPr>
          <w:lang w:val="nl-NL"/>
        </w:rPr>
        <w:t xml:space="preserve"> </w:t>
      </w:r>
      <w:r w:rsidR="004C5A55">
        <w:rPr>
          <w:lang w:val="nl-NL"/>
        </w:rPr>
        <w:t>onze</w:t>
      </w:r>
      <w:r w:rsidR="004C5A55" w:rsidRPr="001656BC">
        <w:rPr>
          <w:lang w:val="nl-NL"/>
        </w:rPr>
        <w:t xml:space="preserve"> </w:t>
      </w:r>
      <w:r w:rsidRPr="001656BC">
        <w:rPr>
          <w:lang w:val="nl-NL"/>
        </w:rPr>
        <w:t>communicatie over rendementen, risico’s en nagestreefde toeslag primair in vanuit het perspectief en het belang van de verzekerden en vanuit de wettelijke eisen die de Pensioenwet aan deze communicatie stelt.</w:t>
      </w:r>
    </w:p>
    <w:p w14:paraId="4D7C9AFC" w14:textId="6267F1B9" w:rsidR="00A20C63" w:rsidRPr="001656BC" w:rsidRDefault="004C5A55" w:rsidP="00070E59">
      <w:pPr>
        <w:pStyle w:val="Lijstalinea"/>
        <w:numPr>
          <w:ilvl w:val="0"/>
          <w:numId w:val="3"/>
        </w:numPr>
        <w:rPr>
          <w:lang w:val="nl-NL"/>
        </w:rPr>
      </w:pPr>
      <w:r>
        <w:rPr>
          <w:lang w:val="nl-NL"/>
        </w:rPr>
        <w:t xml:space="preserve">Ons </w:t>
      </w:r>
      <w:r w:rsidR="001B2EC0">
        <w:rPr>
          <w:lang w:val="nl-NL"/>
        </w:rPr>
        <w:t>fonds</w:t>
      </w:r>
      <w:r w:rsidR="00A20C63" w:rsidRPr="001656BC">
        <w:rPr>
          <w:lang w:val="nl-NL"/>
        </w:rPr>
        <w:t xml:space="preserve"> voert de arbeidsvoorwaarde pensioen uit voor ING, maar is zelf geen partij bij de pensioenovereenkomst en stelt zich in discussies tussen werkgever en werknemersorganisaties te allen tijde neutraal op. </w:t>
      </w:r>
    </w:p>
    <w:p w14:paraId="405287F8" w14:textId="52320F79" w:rsidR="00A20C63" w:rsidRPr="001656BC" w:rsidRDefault="00A20C63" w:rsidP="00070E59">
      <w:pPr>
        <w:pStyle w:val="Lijstalinea"/>
        <w:numPr>
          <w:ilvl w:val="0"/>
          <w:numId w:val="3"/>
        </w:numPr>
        <w:rPr>
          <w:lang w:val="nl-NL"/>
        </w:rPr>
      </w:pPr>
      <w:r w:rsidRPr="001656BC">
        <w:rPr>
          <w:lang w:val="nl-NL"/>
        </w:rPr>
        <w:t xml:space="preserve">Risicodekkingen die in de pensioenovereenkomst(en) worden afgesproken voert </w:t>
      </w:r>
      <w:r w:rsidR="004C5A55">
        <w:rPr>
          <w:lang w:val="nl-NL"/>
        </w:rPr>
        <w:t xml:space="preserve">ons </w:t>
      </w:r>
      <w:r w:rsidR="001B2EC0">
        <w:rPr>
          <w:lang w:val="nl-NL"/>
        </w:rPr>
        <w:t>fonds</w:t>
      </w:r>
      <w:r w:rsidRPr="001656BC">
        <w:rPr>
          <w:lang w:val="nl-NL"/>
        </w:rPr>
        <w:t xml:space="preserve"> kostenefficiënt uit, maar overigens onthoudt </w:t>
      </w:r>
      <w:r w:rsidR="004C5A55">
        <w:rPr>
          <w:lang w:val="nl-NL"/>
        </w:rPr>
        <w:t xml:space="preserve">ons </w:t>
      </w:r>
      <w:r w:rsidR="001B2EC0">
        <w:rPr>
          <w:lang w:val="nl-NL"/>
        </w:rPr>
        <w:t>fonds</w:t>
      </w:r>
      <w:r w:rsidRPr="001656BC">
        <w:rPr>
          <w:lang w:val="nl-NL"/>
        </w:rPr>
        <w:t xml:space="preserve"> zich van optionele producten en richt zijn bedrijfsvoering primair in naar het beheer van de basis </w:t>
      </w:r>
      <w:r w:rsidR="00C26D62">
        <w:rPr>
          <w:lang w:val="nl-NL"/>
        </w:rPr>
        <w:t>CDC-pensioenregeling</w:t>
      </w:r>
      <w:r w:rsidRPr="001656BC">
        <w:rPr>
          <w:lang w:val="nl-NL"/>
        </w:rPr>
        <w:t>.</w:t>
      </w:r>
    </w:p>
    <w:p w14:paraId="39370771" w14:textId="65887AEF" w:rsidR="00A20C63" w:rsidRDefault="00A20C63" w:rsidP="00070E59">
      <w:pPr>
        <w:pStyle w:val="Lijstalinea"/>
        <w:numPr>
          <w:ilvl w:val="0"/>
          <w:numId w:val="3"/>
        </w:numPr>
        <w:rPr>
          <w:lang w:val="nl-NL"/>
        </w:rPr>
      </w:pPr>
      <w:r w:rsidRPr="001656BC">
        <w:rPr>
          <w:lang w:val="nl-NL"/>
        </w:rPr>
        <w:lastRenderedPageBreak/>
        <w:t xml:space="preserve">De organisatie-inrichting (bestuursmodel, inrichting bestuursbureau, uitbestedingspartners) is zo </w:t>
      </w:r>
      <w:r w:rsidR="00277A7B">
        <w:rPr>
          <w:lang w:val="nl-NL"/>
        </w:rPr>
        <w:t>robuust</w:t>
      </w:r>
      <w:r w:rsidRPr="001656BC">
        <w:rPr>
          <w:lang w:val="nl-NL"/>
        </w:rPr>
        <w:t xml:space="preserve"> en kostenefficiënt mogelijk en </w:t>
      </w:r>
      <w:r w:rsidR="004C5A55">
        <w:rPr>
          <w:lang w:val="nl-NL"/>
        </w:rPr>
        <w:t xml:space="preserve">ons </w:t>
      </w:r>
      <w:r w:rsidR="001B2EC0">
        <w:rPr>
          <w:lang w:val="nl-NL"/>
        </w:rPr>
        <w:t>fonds</w:t>
      </w:r>
      <w:r w:rsidRPr="001656BC">
        <w:rPr>
          <w:lang w:val="nl-NL"/>
        </w:rPr>
        <w:t xml:space="preserve"> streeft proactief naar efficiencyvoordelen met eventuele andere aan ING verbonden pensioenfondsen. </w:t>
      </w:r>
    </w:p>
    <w:p w14:paraId="1D82353D" w14:textId="77777777" w:rsidR="00BE1489" w:rsidRPr="001656BC" w:rsidRDefault="00BE1489" w:rsidP="00BE1489">
      <w:pPr>
        <w:pStyle w:val="Lijstalinea"/>
        <w:numPr>
          <w:ilvl w:val="0"/>
          <w:numId w:val="0"/>
        </w:numPr>
        <w:ind w:left="720"/>
        <w:rPr>
          <w:lang w:val="nl-NL"/>
        </w:rPr>
      </w:pPr>
    </w:p>
    <w:p w14:paraId="0F25456F" w14:textId="77777777" w:rsidR="00A20C63" w:rsidRPr="00A20C63" w:rsidRDefault="00A20C63" w:rsidP="001656BC">
      <w:pPr>
        <w:pStyle w:val="Kop2"/>
        <w:rPr>
          <w:rFonts w:hint="eastAsia"/>
          <w:lang w:val="nl-NL"/>
        </w:rPr>
      </w:pPr>
      <w:bookmarkStart w:id="11" w:name="_Toc231804738"/>
      <w:r w:rsidRPr="00A20C63">
        <w:rPr>
          <w:lang w:val="nl-NL"/>
        </w:rPr>
        <w:t>Beleggingsbeleid en risicohouding</w:t>
      </w:r>
      <w:bookmarkEnd w:id="11"/>
    </w:p>
    <w:p w14:paraId="23E55C76" w14:textId="77777777" w:rsidR="00A20C63" w:rsidRPr="00A20C63" w:rsidRDefault="00A20C63" w:rsidP="00A20C63">
      <w:pPr>
        <w:rPr>
          <w:lang w:val="nl-NL"/>
        </w:rPr>
      </w:pPr>
    </w:p>
    <w:p w14:paraId="3118E9FE" w14:textId="66F34628" w:rsidR="00A20C63" w:rsidRDefault="00A20C63" w:rsidP="00A20C63">
      <w:pPr>
        <w:rPr>
          <w:lang w:val="nl-NL"/>
        </w:rPr>
      </w:pPr>
      <w:r w:rsidRPr="00A20C63">
        <w:rPr>
          <w:lang w:val="nl-NL"/>
        </w:rPr>
        <w:t xml:space="preserve">De beleggingsbeginselen van </w:t>
      </w:r>
      <w:r w:rsidR="001B2EC0">
        <w:rPr>
          <w:lang w:val="nl-NL"/>
        </w:rPr>
        <w:t>het fonds</w:t>
      </w:r>
      <w:r w:rsidRPr="00A20C63">
        <w:rPr>
          <w:lang w:val="nl-NL"/>
        </w:rPr>
        <w:t xml:space="preserve"> zijn nader uitgewerkt in het </w:t>
      </w:r>
      <w:r w:rsidR="003A5982">
        <w:rPr>
          <w:lang w:val="nl-NL"/>
        </w:rPr>
        <w:t xml:space="preserve">plan met betrekking tot beleggings- en </w:t>
      </w:r>
      <w:r w:rsidR="00DB4B32">
        <w:rPr>
          <w:lang w:val="nl-NL"/>
        </w:rPr>
        <w:t>renteafdekkingsbeleid</w:t>
      </w:r>
      <w:r w:rsidRPr="00A20C63">
        <w:rPr>
          <w:lang w:val="nl-NL"/>
        </w:rPr>
        <w:t xml:space="preserve"> en in de Verklaring inzake Beleggingsbeginselen (zie bijlage </w:t>
      </w:r>
      <w:r w:rsidR="002E1DFD">
        <w:rPr>
          <w:lang w:val="nl-NL"/>
        </w:rPr>
        <w:t>3</w:t>
      </w:r>
      <w:r w:rsidRPr="00A20C63">
        <w:rPr>
          <w:lang w:val="nl-NL"/>
        </w:rPr>
        <w:t>). De belangrijkste zijn:</w:t>
      </w:r>
    </w:p>
    <w:p w14:paraId="3CD15B34" w14:textId="77777777" w:rsidR="003A5982" w:rsidRDefault="003A5982" w:rsidP="00A20C63">
      <w:pPr>
        <w:rPr>
          <w:lang w:val="nl-NL"/>
        </w:rPr>
      </w:pPr>
    </w:p>
    <w:p w14:paraId="71D0EB6C" w14:textId="3FE104D5" w:rsidR="009B0249" w:rsidRPr="00583476" w:rsidRDefault="004C5A55" w:rsidP="001E699B">
      <w:pPr>
        <w:pStyle w:val="Lijstalinea"/>
        <w:numPr>
          <w:ilvl w:val="1"/>
          <w:numId w:val="46"/>
        </w:numPr>
        <w:tabs>
          <w:tab w:val="left" w:pos="357"/>
        </w:tabs>
        <w:ind w:left="714" w:hanging="357"/>
        <w:jc w:val="both"/>
        <w:rPr>
          <w:lang w:val="nl-NL"/>
        </w:rPr>
      </w:pPr>
      <w:bookmarkStart w:id="12" w:name="_Hlk87967861"/>
      <w:r>
        <w:rPr>
          <w:lang w:val="nl-NL"/>
        </w:rPr>
        <w:t>Ons</w:t>
      </w:r>
      <w:r w:rsidRPr="00583476">
        <w:rPr>
          <w:lang w:val="nl-NL"/>
        </w:rPr>
        <w:t xml:space="preserve"> </w:t>
      </w:r>
      <w:r w:rsidR="005953A7" w:rsidRPr="00583476">
        <w:rPr>
          <w:lang w:val="nl-NL"/>
        </w:rPr>
        <w:t>fonds belegt om de doelen voor de deelnemer te behalen: een zo goed mogelijk pensioen tegen een aanvaardbaar risico en een acceptabel kostenniveau. Hierbij wordt rekening gehouden met de pensioenovereenkomst en de Pensioenwet;</w:t>
      </w:r>
    </w:p>
    <w:p w14:paraId="047E7C6F" w14:textId="60D5866E" w:rsidR="00401D87" w:rsidRPr="00583476" w:rsidRDefault="004C5A55" w:rsidP="001E699B">
      <w:pPr>
        <w:pStyle w:val="Lijstalinea"/>
        <w:numPr>
          <w:ilvl w:val="1"/>
          <w:numId w:val="46"/>
        </w:numPr>
        <w:tabs>
          <w:tab w:val="left" w:pos="357"/>
        </w:tabs>
        <w:ind w:left="714" w:hanging="357"/>
        <w:jc w:val="both"/>
        <w:rPr>
          <w:lang w:val="nl-NL"/>
        </w:rPr>
      </w:pPr>
      <w:r>
        <w:rPr>
          <w:lang w:val="nl-NL"/>
        </w:rPr>
        <w:t>Ons</w:t>
      </w:r>
      <w:r w:rsidRPr="00583476">
        <w:rPr>
          <w:lang w:val="nl-NL"/>
        </w:rPr>
        <w:t xml:space="preserve"> </w:t>
      </w:r>
      <w:r w:rsidR="005953A7" w:rsidRPr="00583476">
        <w:rPr>
          <w:lang w:val="nl-NL"/>
        </w:rPr>
        <w:t xml:space="preserve">fonds belegt volgens de “prudent person” beginselen, waaronder een optimale spreiding vanuit risico- en rendementsperspectief. </w:t>
      </w:r>
      <w:r>
        <w:rPr>
          <w:lang w:val="nl-NL"/>
        </w:rPr>
        <w:t>We richten ons</w:t>
      </w:r>
      <w:r w:rsidR="005953A7" w:rsidRPr="00583476">
        <w:rPr>
          <w:lang w:val="nl-NL"/>
        </w:rPr>
        <w:t xml:space="preserve"> hierbij op lange-termijn waarde-creatie door middel van een toekomstbestendige (“transition ready”) portefeuille;</w:t>
      </w:r>
    </w:p>
    <w:p w14:paraId="14FAFBBB" w14:textId="77777777" w:rsidR="005953A7" w:rsidRPr="00583476" w:rsidRDefault="005953A7" w:rsidP="001E699B">
      <w:pPr>
        <w:pStyle w:val="Lijstalinea"/>
        <w:numPr>
          <w:ilvl w:val="1"/>
          <w:numId w:val="46"/>
        </w:numPr>
        <w:tabs>
          <w:tab w:val="left" w:pos="357"/>
        </w:tabs>
        <w:ind w:left="714" w:hanging="357"/>
        <w:jc w:val="both"/>
        <w:rPr>
          <w:lang w:val="nl-NL"/>
        </w:rPr>
      </w:pPr>
      <w:r w:rsidRPr="00583476">
        <w:rPr>
          <w:lang w:val="nl-NL"/>
        </w:rPr>
        <w:t>Beleggingen beheren met een passieve stijl, tenzij actieve selectie nodig is en aantoonbaar toegevoegde waarde biedt;</w:t>
      </w:r>
    </w:p>
    <w:p w14:paraId="7B97FC7D" w14:textId="77777777" w:rsidR="005953A7" w:rsidRPr="00583476" w:rsidRDefault="005953A7" w:rsidP="001E699B">
      <w:pPr>
        <w:pStyle w:val="Lijstalinea"/>
        <w:numPr>
          <w:ilvl w:val="1"/>
          <w:numId w:val="46"/>
        </w:numPr>
        <w:tabs>
          <w:tab w:val="left" w:pos="357"/>
        </w:tabs>
        <w:ind w:left="714" w:hanging="357"/>
        <w:jc w:val="both"/>
        <w:rPr>
          <w:lang w:val="nl-NL"/>
        </w:rPr>
      </w:pPr>
      <w:r w:rsidRPr="00583476">
        <w:rPr>
          <w:lang w:val="nl-NL"/>
        </w:rPr>
        <w:t xml:space="preserve">Beleggingen moeten begrijpelijk, verhandelbaar (liquiditeit), objectief waardeerbaar zijn en moeten bij aanvang geen onacceptabele risico’s bevatten. </w:t>
      </w:r>
    </w:p>
    <w:p w14:paraId="10BE3329" w14:textId="59CECA1D" w:rsidR="005953A7" w:rsidRPr="00583476" w:rsidRDefault="005953A7" w:rsidP="001E699B">
      <w:pPr>
        <w:pStyle w:val="Lijstalinea"/>
        <w:numPr>
          <w:ilvl w:val="1"/>
          <w:numId w:val="46"/>
        </w:numPr>
        <w:tabs>
          <w:tab w:val="left" w:pos="357"/>
        </w:tabs>
        <w:ind w:left="714" w:hanging="357"/>
        <w:jc w:val="both"/>
        <w:rPr>
          <w:lang w:val="nl-NL"/>
        </w:rPr>
      </w:pPr>
      <w:r w:rsidRPr="00583476">
        <w:rPr>
          <w:lang w:val="nl-NL"/>
        </w:rPr>
        <w:t>Risico’s dienen beloond te worden met extra rendement. Indien beleggingen bijvoorbeeld minder liquide zijn, dan dient dit liquiditeitsrisico voldoende gecompenseerd te worden met een risicopremie;</w:t>
      </w:r>
    </w:p>
    <w:p w14:paraId="5C2B83BB" w14:textId="77777777" w:rsidR="005953A7" w:rsidRPr="00583476" w:rsidRDefault="005953A7" w:rsidP="001E699B">
      <w:pPr>
        <w:pStyle w:val="Lijstalinea"/>
        <w:numPr>
          <w:ilvl w:val="1"/>
          <w:numId w:val="46"/>
        </w:numPr>
        <w:tabs>
          <w:tab w:val="left" w:pos="357"/>
        </w:tabs>
        <w:ind w:left="714" w:hanging="357"/>
        <w:jc w:val="both"/>
        <w:rPr>
          <w:lang w:val="nl-NL"/>
        </w:rPr>
      </w:pPr>
      <w:r w:rsidRPr="00583476">
        <w:rPr>
          <w:lang w:val="nl-NL"/>
        </w:rPr>
        <w:t>Onderkennen van risico’s en sturen in de strategische en tactische vermogensverdeling zijn de belangrijkste stappen in het balansbeheer en het beleggingsproces;</w:t>
      </w:r>
    </w:p>
    <w:p w14:paraId="1E563F1B" w14:textId="6782FE4D" w:rsidR="006D7A80" w:rsidRDefault="006D7A80" w:rsidP="001E699B">
      <w:pPr>
        <w:pStyle w:val="Normaalweb"/>
        <w:numPr>
          <w:ilvl w:val="0"/>
          <w:numId w:val="46"/>
        </w:numPr>
        <w:rPr>
          <w:rFonts w:asciiTheme="minorHAnsi" w:eastAsiaTheme="minorHAnsi" w:hAnsiTheme="minorHAnsi" w:cstheme="minorBidi"/>
          <w:sz w:val="20"/>
          <w:szCs w:val="22"/>
          <w:lang w:eastAsia="en-US"/>
        </w:rPr>
      </w:pPr>
      <w:r w:rsidRPr="00613C80">
        <w:rPr>
          <w:rFonts w:asciiTheme="minorHAnsi" w:eastAsiaTheme="minorHAnsi" w:hAnsiTheme="minorHAnsi" w:cstheme="minorBidi"/>
          <w:sz w:val="20"/>
          <w:szCs w:val="22"/>
          <w:lang w:eastAsia="en-US"/>
        </w:rPr>
        <w:t>Aan beleggen zijn risico</w:t>
      </w:r>
      <w:r w:rsidR="00AA711F">
        <w:rPr>
          <w:rFonts w:asciiTheme="minorHAnsi" w:eastAsiaTheme="minorHAnsi" w:hAnsiTheme="minorHAnsi" w:cstheme="minorBidi"/>
          <w:sz w:val="20"/>
          <w:szCs w:val="22"/>
          <w:lang w:eastAsia="en-US"/>
        </w:rPr>
        <w:t>’</w:t>
      </w:r>
      <w:r w:rsidRPr="00613C80">
        <w:rPr>
          <w:rFonts w:asciiTheme="minorHAnsi" w:eastAsiaTheme="minorHAnsi" w:hAnsiTheme="minorHAnsi" w:cstheme="minorBidi"/>
          <w:sz w:val="20"/>
          <w:szCs w:val="22"/>
          <w:lang w:eastAsia="en-US"/>
        </w:rPr>
        <w:t>s verbonden. Zo kan de waarde van de beleggingen veranderen door koersschommelingen en gebeurtenissen op de markt. Ook duurzaamheidsrisico</w:t>
      </w:r>
      <w:r w:rsidR="00434848">
        <w:rPr>
          <w:rFonts w:asciiTheme="minorHAnsi" w:eastAsiaTheme="minorHAnsi" w:hAnsiTheme="minorHAnsi" w:cstheme="minorBidi"/>
          <w:sz w:val="20"/>
          <w:szCs w:val="22"/>
          <w:lang w:eastAsia="en-US"/>
        </w:rPr>
        <w:t>’</w:t>
      </w:r>
      <w:r w:rsidRPr="00613C80">
        <w:rPr>
          <w:rFonts w:asciiTheme="minorHAnsi" w:eastAsiaTheme="minorHAnsi" w:hAnsiTheme="minorHAnsi" w:cstheme="minorBidi"/>
          <w:sz w:val="20"/>
          <w:szCs w:val="22"/>
          <w:lang w:eastAsia="en-US"/>
        </w:rPr>
        <w:t xml:space="preserve">s kunnen van invloed zijn op de waarde van de beleggingen. </w:t>
      </w:r>
    </w:p>
    <w:p w14:paraId="6DBFB923" w14:textId="25E3996E" w:rsidR="006D7A80" w:rsidRPr="00613C80" w:rsidRDefault="006D7A80" w:rsidP="001E699B">
      <w:pPr>
        <w:pStyle w:val="Normaalweb"/>
        <w:numPr>
          <w:ilvl w:val="0"/>
          <w:numId w:val="46"/>
        </w:numPr>
        <w:rPr>
          <w:rFonts w:asciiTheme="minorHAnsi" w:eastAsiaTheme="minorHAnsi" w:hAnsiTheme="minorHAnsi" w:cstheme="minorBidi"/>
          <w:sz w:val="20"/>
          <w:szCs w:val="22"/>
          <w:lang w:eastAsia="en-US"/>
        </w:rPr>
      </w:pPr>
      <w:r w:rsidRPr="00613C80">
        <w:rPr>
          <w:rFonts w:asciiTheme="minorHAnsi" w:eastAsiaTheme="minorHAnsi" w:hAnsiTheme="minorHAnsi" w:cstheme="minorBidi"/>
          <w:sz w:val="20"/>
          <w:szCs w:val="22"/>
          <w:lang w:eastAsia="en-US"/>
        </w:rPr>
        <w:t>Duurzaamheidsrisico</w:t>
      </w:r>
      <w:r w:rsidR="00957184">
        <w:rPr>
          <w:rFonts w:asciiTheme="minorHAnsi" w:eastAsiaTheme="minorHAnsi" w:hAnsiTheme="minorHAnsi" w:cstheme="minorBidi"/>
          <w:sz w:val="20"/>
          <w:szCs w:val="22"/>
          <w:lang w:eastAsia="en-US"/>
        </w:rPr>
        <w:t>’</w:t>
      </w:r>
      <w:r w:rsidRPr="00613C80">
        <w:rPr>
          <w:rFonts w:asciiTheme="minorHAnsi" w:eastAsiaTheme="minorHAnsi" w:hAnsiTheme="minorHAnsi" w:cstheme="minorBidi"/>
          <w:sz w:val="20"/>
          <w:szCs w:val="22"/>
          <w:lang w:eastAsia="en-US"/>
        </w:rPr>
        <w:t>s zijn risico</w:t>
      </w:r>
      <w:r w:rsidR="00AA711F">
        <w:rPr>
          <w:rFonts w:asciiTheme="minorHAnsi" w:eastAsiaTheme="minorHAnsi" w:hAnsiTheme="minorHAnsi" w:cstheme="minorBidi"/>
          <w:sz w:val="20"/>
          <w:szCs w:val="22"/>
          <w:lang w:eastAsia="en-US"/>
        </w:rPr>
        <w:t>’</w:t>
      </w:r>
      <w:r w:rsidRPr="00613C80">
        <w:rPr>
          <w:rFonts w:asciiTheme="minorHAnsi" w:eastAsiaTheme="minorHAnsi" w:hAnsiTheme="minorHAnsi" w:cstheme="minorBidi"/>
          <w:sz w:val="20"/>
          <w:szCs w:val="22"/>
          <w:lang w:eastAsia="en-US"/>
        </w:rPr>
        <w:t xml:space="preserve">s op ecologisch, sociaal en/of governance gebied, waardoor de waarde van een belegging kan dalen. </w:t>
      </w:r>
    </w:p>
    <w:p w14:paraId="6F2E54BF" w14:textId="2AAA3D11" w:rsidR="006D7A80" w:rsidRPr="00613C80" w:rsidRDefault="006D7A80" w:rsidP="001E699B">
      <w:pPr>
        <w:pStyle w:val="Lijstalinea"/>
        <w:numPr>
          <w:ilvl w:val="0"/>
          <w:numId w:val="46"/>
        </w:numPr>
        <w:spacing w:before="100" w:beforeAutospacing="1" w:after="100" w:afterAutospacing="1"/>
        <w:rPr>
          <w:lang w:val="nl-NL"/>
        </w:rPr>
      </w:pPr>
      <w:r w:rsidRPr="00613C80">
        <w:rPr>
          <w:lang w:val="nl-NL"/>
        </w:rPr>
        <w:t>De beoordeling en de monitoring van risico</w:t>
      </w:r>
      <w:r w:rsidR="00B50843">
        <w:rPr>
          <w:lang w:val="nl-NL"/>
        </w:rPr>
        <w:t>’</w:t>
      </w:r>
      <w:r w:rsidRPr="00613C80">
        <w:rPr>
          <w:lang w:val="nl-NL"/>
        </w:rPr>
        <w:t xml:space="preserve">s heeft </w:t>
      </w:r>
      <w:r w:rsidR="004C5A55">
        <w:rPr>
          <w:lang w:val="nl-NL"/>
        </w:rPr>
        <w:t>ons fonds</w:t>
      </w:r>
      <w:r w:rsidRPr="00613C80">
        <w:rPr>
          <w:lang w:val="nl-NL"/>
        </w:rPr>
        <w:t xml:space="preserve"> in </w:t>
      </w:r>
      <w:r w:rsidR="004C5A55">
        <w:rPr>
          <w:lang w:val="nl-NL"/>
        </w:rPr>
        <w:t>zijn</w:t>
      </w:r>
      <w:r w:rsidR="004C5A55" w:rsidRPr="00613C80">
        <w:rPr>
          <w:lang w:val="nl-NL"/>
        </w:rPr>
        <w:t xml:space="preserve"> </w:t>
      </w:r>
      <w:r w:rsidRPr="00613C80">
        <w:rPr>
          <w:lang w:val="nl-NL"/>
        </w:rPr>
        <w:t>besluitvormingsprocedures en risicobeheer opgenomen.  </w:t>
      </w:r>
      <w:r w:rsidR="004C5A55">
        <w:rPr>
          <w:lang w:val="nl-NL"/>
        </w:rPr>
        <w:t>Wij</w:t>
      </w:r>
      <w:r w:rsidRPr="00613C80">
        <w:rPr>
          <w:lang w:val="nl-NL"/>
        </w:rPr>
        <w:t xml:space="preserve"> beoorde</w:t>
      </w:r>
      <w:r w:rsidR="004C5A55">
        <w:rPr>
          <w:lang w:val="nl-NL"/>
        </w:rPr>
        <w:t>len</w:t>
      </w:r>
      <w:r w:rsidRPr="00613C80">
        <w:rPr>
          <w:lang w:val="nl-NL"/>
        </w:rPr>
        <w:t xml:space="preserve"> bij beleggingsbeslissingen duurzaamheidsrisico</w:t>
      </w:r>
      <w:r w:rsidR="00B50843">
        <w:rPr>
          <w:lang w:val="nl-NL"/>
        </w:rPr>
        <w:t>’</w:t>
      </w:r>
      <w:r w:rsidRPr="00613C80">
        <w:rPr>
          <w:lang w:val="nl-NL"/>
        </w:rPr>
        <w:t xml:space="preserve">s zoals </w:t>
      </w:r>
      <w:r w:rsidR="004C5A55">
        <w:rPr>
          <w:lang w:val="nl-NL"/>
        </w:rPr>
        <w:t>wij</w:t>
      </w:r>
      <w:r w:rsidR="004C5A55" w:rsidRPr="00613C80">
        <w:rPr>
          <w:lang w:val="nl-NL"/>
        </w:rPr>
        <w:t xml:space="preserve"> </w:t>
      </w:r>
      <w:r w:rsidRPr="00613C80">
        <w:rPr>
          <w:lang w:val="nl-NL"/>
        </w:rPr>
        <w:t>dat ook doet voor andere risico</w:t>
      </w:r>
      <w:r w:rsidR="00B50843">
        <w:rPr>
          <w:lang w:val="nl-NL"/>
        </w:rPr>
        <w:t>’</w:t>
      </w:r>
      <w:r w:rsidRPr="00613C80">
        <w:rPr>
          <w:lang w:val="nl-NL"/>
        </w:rPr>
        <w:t>s.</w:t>
      </w:r>
    </w:p>
    <w:p w14:paraId="5F7605EA" w14:textId="5FF56D98" w:rsidR="006D7A80" w:rsidRPr="00613C80" w:rsidRDefault="006D7A80" w:rsidP="001E699B">
      <w:pPr>
        <w:pStyle w:val="Lijstalinea"/>
        <w:numPr>
          <w:ilvl w:val="0"/>
          <w:numId w:val="46"/>
        </w:numPr>
        <w:spacing w:before="100" w:beforeAutospacing="1" w:after="100" w:afterAutospacing="1"/>
        <w:rPr>
          <w:lang w:val="nl-NL"/>
        </w:rPr>
      </w:pPr>
      <w:r w:rsidRPr="00613C80">
        <w:rPr>
          <w:lang w:val="nl-NL"/>
        </w:rPr>
        <w:t>Als</w:t>
      </w:r>
      <w:r w:rsidRPr="00613C80">
        <w:rPr>
          <w:rFonts w:hint="eastAsia"/>
          <w:lang w:val="nl-NL"/>
        </w:rPr>
        <w:t> </w:t>
      </w:r>
      <w:r w:rsidR="004C5A55">
        <w:rPr>
          <w:lang w:val="nl-NL"/>
        </w:rPr>
        <w:t>ons fonds</w:t>
      </w:r>
      <w:r w:rsidRPr="00613C80">
        <w:rPr>
          <w:lang w:val="nl-NL"/>
        </w:rPr>
        <w:t xml:space="preserve"> hoge duurzaamheidsrisico</w:t>
      </w:r>
      <w:r w:rsidR="00AA711F">
        <w:rPr>
          <w:lang w:val="nl-NL"/>
        </w:rPr>
        <w:t>’</w:t>
      </w:r>
      <w:r w:rsidRPr="00613C80">
        <w:rPr>
          <w:lang w:val="nl-NL"/>
        </w:rPr>
        <w:t>s bij een belegging vaststelt, kan zij besluiten om een belegging te vervangen door een andere belegging met lagere duurzaamheidsrisico's</w:t>
      </w:r>
      <w:r w:rsidR="00097EBE">
        <w:rPr>
          <w:lang w:val="nl-NL"/>
        </w:rPr>
        <w:t>, indien mogelijk</w:t>
      </w:r>
      <w:r w:rsidR="00957184">
        <w:rPr>
          <w:lang w:val="nl-NL"/>
        </w:rPr>
        <w:t xml:space="preserve"> (10.6.3)</w:t>
      </w:r>
      <w:r w:rsidRPr="00613C80">
        <w:rPr>
          <w:lang w:val="nl-NL"/>
        </w:rPr>
        <w:t>.</w:t>
      </w:r>
    </w:p>
    <w:p w14:paraId="4DCDDCD1" w14:textId="657A57CD" w:rsidR="006D7A80" w:rsidRPr="002C5DD9" w:rsidRDefault="006D7A80" w:rsidP="001E699B">
      <w:pPr>
        <w:pStyle w:val="Lijstalinea"/>
        <w:numPr>
          <w:ilvl w:val="0"/>
          <w:numId w:val="46"/>
        </w:numPr>
        <w:spacing w:before="100" w:beforeAutospacing="1" w:after="100" w:afterAutospacing="1"/>
        <w:rPr>
          <w:lang w:val="nl-NL"/>
        </w:rPr>
      </w:pPr>
      <w:r w:rsidRPr="00613C80">
        <w:rPr>
          <w:lang w:val="nl-NL"/>
        </w:rPr>
        <w:t xml:space="preserve">Dit is </w:t>
      </w:r>
      <w:r w:rsidRPr="001A4CB4">
        <w:rPr>
          <w:i/>
          <w:iCs/>
          <w:lang w:val="nl-NL"/>
        </w:rPr>
        <w:t>bijvoorbeeld</w:t>
      </w:r>
      <w:r w:rsidRPr="00613C80">
        <w:rPr>
          <w:lang w:val="nl-NL"/>
        </w:rPr>
        <w:t xml:space="preserve"> het geval als </w:t>
      </w:r>
      <w:r w:rsidR="004C5A55">
        <w:rPr>
          <w:lang w:val="nl-NL"/>
        </w:rPr>
        <w:t>ons fonds</w:t>
      </w:r>
      <w:r w:rsidRPr="00613C80">
        <w:rPr>
          <w:lang w:val="nl-NL"/>
        </w:rPr>
        <w:t xml:space="preserve"> van oordeel </w:t>
      </w:r>
      <w:r w:rsidR="00622460">
        <w:rPr>
          <w:lang w:val="nl-NL"/>
        </w:rPr>
        <w:t>is</w:t>
      </w:r>
      <w:r w:rsidRPr="00613C80">
        <w:rPr>
          <w:lang w:val="nl-NL"/>
        </w:rPr>
        <w:t xml:space="preserve"> dat het risico op </w:t>
      </w:r>
      <w:r w:rsidRPr="002C5DD9">
        <w:rPr>
          <w:lang w:val="nl-NL"/>
        </w:rPr>
        <w:t>onverwachte of voortijdige afschrijvingen, als gevolg van nieuwe regelgeving op klimaat- en milieugebied (</w:t>
      </w:r>
      <w:r w:rsidRPr="002C5DD9">
        <w:rPr>
          <w:i/>
          <w:iCs/>
          <w:lang w:val="nl-NL"/>
        </w:rPr>
        <w:t>stranded assets</w:t>
      </w:r>
      <w:r w:rsidRPr="002C5DD9">
        <w:rPr>
          <w:lang w:val="nl-NL"/>
        </w:rPr>
        <w:t>) groot is.</w:t>
      </w:r>
    </w:p>
    <w:p w14:paraId="3CF7701E" w14:textId="1DEE7AC0" w:rsidR="006D7A80" w:rsidRPr="004C5A55" w:rsidRDefault="004C5A55" w:rsidP="00C6025F">
      <w:pPr>
        <w:pStyle w:val="Lijstalinea"/>
        <w:numPr>
          <w:ilvl w:val="1"/>
          <w:numId w:val="46"/>
        </w:numPr>
        <w:tabs>
          <w:tab w:val="left" w:pos="357"/>
        </w:tabs>
        <w:spacing w:beforeAutospacing="1" w:afterAutospacing="1"/>
        <w:ind w:left="714" w:hanging="357"/>
        <w:jc w:val="both"/>
        <w:rPr>
          <w:lang w:val="nl-NL"/>
        </w:rPr>
      </w:pPr>
      <w:r>
        <w:rPr>
          <w:lang w:val="nl-NL"/>
        </w:rPr>
        <w:t>Ons fonds</w:t>
      </w:r>
      <w:r w:rsidR="006D7A80" w:rsidRPr="004C5A55">
        <w:rPr>
          <w:lang w:val="nl-NL"/>
        </w:rPr>
        <w:t xml:space="preserve"> houdt geen rekening met de EU-criteria voor ecologisch duurzame economische activiteiten bij het nemen van </w:t>
      </w:r>
      <w:r w:rsidR="00622460" w:rsidRPr="004C5A55">
        <w:rPr>
          <w:lang w:val="nl-NL"/>
        </w:rPr>
        <w:t>beleggingsbeslissingen</w:t>
      </w:r>
      <w:r w:rsidR="006D7A80" w:rsidRPr="004C5A55">
        <w:rPr>
          <w:lang w:val="nl-NL"/>
        </w:rPr>
        <w:t xml:space="preserve">. </w:t>
      </w:r>
      <w:r>
        <w:rPr>
          <w:lang w:val="nl-NL"/>
        </w:rPr>
        <w:t>Ons fonds</w:t>
      </w:r>
      <w:r w:rsidR="006D7A80" w:rsidRPr="004C5A55">
        <w:rPr>
          <w:lang w:val="nl-NL"/>
        </w:rPr>
        <w:t xml:space="preserve"> houdt ook geen rekening met de ongunstige effecten op duurzaamheidsfactoren in haar beleggingsbeslissingen. Dit betekent dat het pensioenfonds geen onderzoek doet naar de negatieve gevolgen van haar beleggingen op mens, milieu, maatschappij en omgeving. </w:t>
      </w:r>
    </w:p>
    <w:p w14:paraId="4132572A" w14:textId="3AB0BC1C" w:rsidR="006F3F24" w:rsidRDefault="004C5A55" w:rsidP="001E699B">
      <w:pPr>
        <w:pStyle w:val="Lijstalinea"/>
        <w:numPr>
          <w:ilvl w:val="1"/>
          <w:numId w:val="46"/>
        </w:numPr>
        <w:tabs>
          <w:tab w:val="left" w:pos="357"/>
        </w:tabs>
        <w:ind w:left="714" w:hanging="357"/>
        <w:jc w:val="both"/>
        <w:rPr>
          <w:lang w:val="nl-NL"/>
        </w:rPr>
      </w:pPr>
      <w:r>
        <w:rPr>
          <w:lang w:val="nl-NL"/>
        </w:rPr>
        <w:t>Ons fonds</w:t>
      </w:r>
      <w:r w:rsidR="006D7A80" w:rsidRPr="0053468D">
        <w:rPr>
          <w:lang w:val="nl-NL"/>
        </w:rPr>
        <w:t xml:space="preserve"> belegt de premies om rendement te behalen om een pensioen te kunnen uitkeren. Om de ongunstige effecten op duurzaamheidsfactoren te kunnen berekenen is veel data nodig. Deze data is kostbaar en de kwaliteit ervan is vaak nog onvoldoende.</w:t>
      </w:r>
      <w:r w:rsidR="006D7A80" w:rsidRPr="0018757F">
        <w:rPr>
          <w:lang w:val="nl-NL"/>
        </w:rPr>
        <w:t xml:space="preserve"> </w:t>
      </w:r>
      <w:r w:rsidR="006D7A80" w:rsidRPr="007E3A62">
        <w:rPr>
          <w:lang w:val="nl-NL"/>
        </w:rPr>
        <w:t xml:space="preserve">Ook is niet voor alle beleggingen deze data beschikbaar. </w:t>
      </w:r>
      <w:r>
        <w:rPr>
          <w:lang w:val="nl-NL"/>
        </w:rPr>
        <w:t>Ons fonds</w:t>
      </w:r>
      <w:r w:rsidR="006D7A80" w:rsidRPr="007E3A62">
        <w:rPr>
          <w:lang w:val="nl-NL"/>
        </w:rPr>
        <w:t xml:space="preserve"> zal dit standpunt </w:t>
      </w:r>
      <w:r w:rsidR="00E84371" w:rsidRPr="007E3A62">
        <w:rPr>
          <w:lang w:val="nl-NL"/>
        </w:rPr>
        <w:t xml:space="preserve">periodiek </w:t>
      </w:r>
      <w:r w:rsidR="006D7A80" w:rsidRPr="007E3A62">
        <w:rPr>
          <w:lang w:val="nl-NL"/>
        </w:rPr>
        <w:t>beoordelen</w:t>
      </w:r>
      <w:r w:rsidR="006F3F24" w:rsidRPr="007E3A62">
        <w:rPr>
          <w:lang w:val="nl-NL"/>
        </w:rPr>
        <w:t>.</w:t>
      </w:r>
    </w:p>
    <w:p w14:paraId="6BE35468" w14:textId="2F246ACF" w:rsidR="00BD4CB0" w:rsidRDefault="00BD4CB0" w:rsidP="001E699B">
      <w:pPr>
        <w:pStyle w:val="Lijstalinea"/>
        <w:numPr>
          <w:ilvl w:val="1"/>
          <w:numId w:val="46"/>
        </w:numPr>
        <w:tabs>
          <w:tab w:val="left" w:pos="357"/>
        </w:tabs>
        <w:ind w:left="714" w:hanging="357"/>
        <w:jc w:val="both"/>
        <w:rPr>
          <w:lang w:val="nl-NL"/>
        </w:rPr>
      </w:pPr>
      <w:r w:rsidRPr="0053468D">
        <w:rPr>
          <w:lang w:val="nl-NL"/>
        </w:rPr>
        <w:t xml:space="preserve">De strategische afhankelijkheid van derden moet beperkt blijven om in control te blijven </w:t>
      </w:r>
      <w:r w:rsidRPr="0053468D">
        <w:rPr>
          <w:rFonts w:cs="Arial"/>
          <w:szCs w:val="20"/>
          <w:lang w:val="nl-NL"/>
        </w:rPr>
        <w:t>en uitbestedingsrisico’s dienen adequaat te worden beheerst.</w:t>
      </w:r>
    </w:p>
    <w:bookmarkEnd w:id="12"/>
    <w:p w14:paraId="2D874EEE" w14:textId="77777777" w:rsidR="00BA4EE5" w:rsidRPr="006E4E29" w:rsidRDefault="00BA4EE5" w:rsidP="00A20C63">
      <w:pPr>
        <w:rPr>
          <w:lang w:val="nl-NL"/>
        </w:rPr>
      </w:pPr>
    </w:p>
    <w:p w14:paraId="4F462F9F" w14:textId="77777777" w:rsidR="00BD4CB0" w:rsidRDefault="00BD4CB0" w:rsidP="00A20C63">
      <w:pPr>
        <w:rPr>
          <w:lang w:val="nl-NL"/>
        </w:rPr>
      </w:pPr>
    </w:p>
    <w:p w14:paraId="3AEBCB51" w14:textId="2D4D6DEF" w:rsidR="00A20C63" w:rsidRPr="006E4E29" w:rsidRDefault="00A20C63" w:rsidP="00A20C63">
      <w:pPr>
        <w:rPr>
          <w:lang w:val="nl-NL"/>
        </w:rPr>
      </w:pPr>
      <w:r w:rsidRPr="006E4E29">
        <w:rPr>
          <w:lang w:val="nl-NL"/>
        </w:rPr>
        <w:t xml:space="preserve">De risicohouding leidt </w:t>
      </w:r>
      <w:r w:rsidR="001B2EC0" w:rsidRPr="006E4E29">
        <w:rPr>
          <w:lang w:val="nl-NL"/>
        </w:rPr>
        <w:t>het fonds</w:t>
      </w:r>
      <w:r w:rsidRPr="006E4E29">
        <w:rPr>
          <w:lang w:val="nl-NL"/>
        </w:rPr>
        <w:t xml:space="preserve"> af uit het karakter van de </w:t>
      </w:r>
      <w:r w:rsidR="00C26D62" w:rsidRPr="006E4E29">
        <w:rPr>
          <w:lang w:val="nl-NL"/>
        </w:rPr>
        <w:t>CDC-pensioenregeling</w:t>
      </w:r>
      <w:r w:rsidRPr="006E4E29">
        <w:rPr>
          <w:lang w:val="nl-NL"/>
        </w:rPr>
        <w:t xml:space="preserve">, de door </w:t>
      </w:r>
      <w:r w:rsidR="001B2EC0" w:rsidRPr="006E4E29">
        <w:rPr>
          <w:lang w:val="nl-NL"/>
        </w:rPr>
        <w:t>het fonds</w:t>
      </w:r>
      <w:r w:rsidRPr="006E4E29">
        <w:rPr>
          <w:lang w:val="nl-NL"/>
        </w:rPr>
        <w:t xml:space="preserve"> in periodiek overleg met de sociale partners besproken pensioendoelstellingen, het wettelijk toetsingskader en de invulling van de risicobereidheid die </w:t>
      </w:r>
      <w:r w:rsidR="00D646CD">
        <w:rPr>
          <w:lang w:val="nl-NL"/>
        </w:rPr>
        <w:t>ons</w:t>
      </w:r>
      <w:r w:rsidR="00D646CD" w:rsidRPr="00E25521">
        <w:rPr>
          <w:lang w:val="nl-NL"/>
        </w:rPr>
        <w:t xml:space="preserve"> </w:t>
      </w:r>
      <w:r w:rsidR="001B2EC0" w:rsidRPr="00E25521">
        <w:rPr>
          <w:lang w:val="nl-NL"/>
        </w:rPr>
        <w:t>fonds</w:t>
      </w:r>
      <w:r w:rsidRPr="00E25521">
        <w:rPr>
          <w:lang w:val="nl-NL"/>
        </w:rPr>
        <w:t xml:space="preserve"> passend vindt bij de samenstelling van het verzekerdencollectief en de rijpheid van </w:t>
      </w:r>
      <w:r w:rsidR="00D646CD">
        <w:rPr>
          <w:lang w:val="nl-NL"/>
        </w:rPr>
        <w:t>ons</w:t>
      </w:r>
      <w:r w:rsidR="00D646CD" w:rsidRPr="00E25521">
        <w:rPr>
          <w:lang w:val="nl-NL"/>
        </w:rPr>
        <w:t xml:space="preserve"> </w:t>
      </w:r>
      <w:r w:rsidRPr="00E25521">
        <w:rPr>
          <w:lang w:val="nl-NL"/>
        </w:rPr>
        <w:t>fonds</w:t>
      </w:r>
      <w:r w:rsidRPr="006E4E29">
        <w:rPr>
          <w:lang w:val="nl-NL"/>
        </w:rPr>
        <w:t xml:space="preserve">. </w:t>
      </w:r>
      <w:r w:rsidR="00D646CD">
        <w:rPr>
          <w:lang w:val="nl-NL"/>
        </w:rPr>
        <w:t>We hanteren</w:t>
      </w:r>
      <w:r w:rsidRPr="006E4E29">
        <w:rPr>
          <w:lang w:val="nl-NL"/>
        </w:rPr>
        <w:t xml:space="preserve"> de volgende uitgangspunten:</w:t>
      </w:r>
    </w:p>
    <w:p w14:paraId="02E3A784" w14:textId="0E7F2FBC" w:rsidR="00A20C63" w:rsidRPr="006E4E29" w:rsidRDefault="00A20C63" w:rsidP="001E699B">
      <w:pPr>
        <w:pStyle w:val="Lijstalinea"/>
        <w:numPr>
          <w:ilvl w:val="0"/>
          <w:numId w:val="4"/>
        </w:numPr>
        <w:rPr>
          <w:lang w:val="nl-NL"/>
        </w:rPr>
      </w:pPr>
      <w:r w:rsidRPr="006E4E29">
        <w:rPr>
          <w:lang w:val="nl-NL"/>
        </w:rPr>
        <w:t>Het vereist eigen vermogen (VEV) is de primaire indicator voor het risicobudget op 1-jaarstermijn. De bandbreedte voor het vereist eigen vermogen (bij het strategisch beleid in de evenwichtssituatie) is 1</w:t>
      </w:r>
      <w:r w:rsidR="002405D4">
        <w:rPr>
          <w:lang w:val="nl-NL"/>
        </w:rPr>
        <w:t>0</w:t>
      </w:r>
      <w:r w:rsidRPr="006E4E29">
        <w:rPr>
          <w:lang w:val="nl-NL"/>
        </w:rPr>
        <w:t>% - 2</w:t>
      </w:r>
      <w:r w:rsidR="006174A6" w:rsidRPr="006E4E29">
        <w:rPr>
          <w:lang w:val="nl-NL"/>
        </w:rPr>
        <w:t>3</w:t>
      </w:r>
      <w:r w:rsidRPr="006E4E29">
        <w:rPr>
          <w:lang w:val="nl-NL"/>
        </w:rPr>
        <w:t>%.</w:t>
      </w:r>
    </w:p>
    <w:p w14:paraId="729E1232" w14:textId="77777777" w:rsidR="00A20C63" w:rsidRPr="006E4E29" w:rsidRDefault="00A20C63" w:rsidP="001E699B">
      <w:pPr>
        <w:pStyle w:val="Lijstalinea"/>
        <w:numPr>
          <w:ilvl w:val="0"/>
          <w:numId w:val="4"/>
        </w:numPr>
        <w:rPr>
          <w:lang w:val="nl-NL"/>
        </w:rPr>
      </w:pPr>
      <w:r w:rsidRPr="006E4E29">
        <w:rPr>
          <w:lang w:val="nl-NL"/>
        </w:rPr>
        <w:t xml:space="preserve">Het toetsingskader vereist dat </w:t>
      </w:r>
      <w:r w:rsidR="001B2EC0" w:rsidRPr="006E4E29">
        <w:rPr>
          <w:lang w:val="nl-NL"/>
        </w:rPr>
        <w:t>het fonds</w:t>
      </w:r>
      <w:r w:rsidRPr="006E4E29">
        <w:rPr>
          <w:lang w:val="nl-NL"/>
        </w:rPr>
        <w:t xml:space="preserve"> stuurt op de </w:t>
      </w:r>
      <w:r w:rsidRPr="006E4E29">
        <w:rPr>
          <w:rFonts w:hint="cs"/>
          <w:lang w:val="nl-NL"/>
        </w:rPr>
        <w:t>“</w:t>
      </w:r>
      <w:r w:rsidRPr="006E4E29">
        <w:rPr>
          <w:lang w:val="nl-NL"/>
        </w:rPr>
        <w:t>DNB RTS</w:t>
      </w:r>
      <w:r w:rsidRPr="006E4E29">
        <w:rPr>
          <w:rFonts w:hint="cs"/>
          <w:lang w:val="nl-NL"/>
        </w:rPr>
        <w:t>”</w:t>
      </w:r>
      <w:r w:rsidRPr="006E4E29">
        <w:rPr>
          <w:lang w:val="nl-NL"/>
        </w:rPr>
        <w:t xml:space="preserve"> als verplichtingen benchmark van de nominale rechten. Strategische risicokeuzes worden mede op basis van de marktrente en op basis van een realistische toeslagambitie gebaseerd.</w:t>
      </w:r>
    </w:p>
    <w:p w14:paraId="352CFE8E" w14:textId="6561286F" w:rsidR="00A20C63" w:rsidRPr="006E4E29" w:rsidRDefault="00A20C63" w:rsidP="001E699B">
      <w:pPr>
        <w:pStyle w:val="Lijstalinea"/>
        <w:numPr>
          <w:ilvl w:val="0"/>
          <w:numId w:val="4"/>
        </w:numPr>
        <w:rPr>
          <w:lang w:val="nl-NL"/>
        </w:rPr>
      </w:pPr>
      <w:r w:rsidRPr="006E4E29">
        <w:rPr>
          <w:lang w:val="nl-NL"/>
        </w:rPr>
        <w:t xml:space="preserve">Het (VEV-) risicobudget wordt evenwichtig gespreid ingezet, dus niet eenzijdig op </w:t>
      </w:r>
      <w:r w:rsidRPr="006E4E29">
        <w:rPr>
          <w:rFonts w:hint="cs"/>
          <w:lang w:val="nl-NL"/>
        </w:rPr>
        <w:t>éé</w:t>
      </w:r>
      <w:r w:rsidRPr="006E4E29">
        <w:rPr>
          <w:lang w:val="nl-NL"/>
        </w:rPr>
        <w:t>n of enkele risicocategorie</w:t>
      </w:r>
      <w:r w:rsidRPr="006E4E29">
        <w:rPr>
          <w:rFonts w:hint="cs"/>
          <w:lang w:val="nl-NL"/>
        </w:rPr>
        <w:t>ë</w:t>
      </w:r>
      <w:r w:rsidRPr="006E4E29">
        <w:rPr>
          <w:lang w:val="nl-NL"/>
        </w:rPr>
        <w:t xml:space="preserve">n. </w:t>
      </w:r>
      <w:r w:rsidR="00D646CD">
        <w:rPr>
          <w:lang w:val="nl-NL"/>
        </w:rPr>
        <w:t>Ons</w:t>
      </w:r>
      <w:r w:rsidR="00D646CD" w:rsidRPr="006E4E29">
        <w:rPr>
          <w:lang w:val="nl-NL"/>
        </w:rPr>
        <w:t xml:space="preserve"> </w:t>
      </w:r>
      <w:r w:rsidR="001B2EC0" w:rsidRPr="006E4E29">
        <w:rPr>
          <w:lang w:val="nl-NL"/>
        </w:rPr>
        <w:t>fonds</w:t>
      </w:r>
      <w:r w:rsidRPr="006E4E29">
        <w:rPr>
          <w:lang w:val="nl-NL"/>
        </w:rPr>
        <w:t xml:space="preserve"> zet geen risicobudget in </w:t>
      </w:r>
      <w:r w:rsidR="00F5449C" w:rsidRPr="006E4E29">
        <w:rPr>
          <w:lang w:val="nl-NL"/>
        </w:rPr>
        <w:t xml:space="preserve">op </w:t>
      </w:r>
      <w:r w:rsidRPr="006E4E29">
        <w:rPr>
          <w:lang w:val="nl-NL"/>
        </w:rPr>
        <w:t>categorie</w:t>
      </w:r>
      <w:r w:rsidRPr="006E4E29">
        <w:rPr>
          <w:rFonts w:hint="cs"/>
          <w:lang w:val="nl-NL"/>
        </w:rPr>
        <w:t>ë</w:t>
      </w:r>
      <w:r w:rsidRPr="006E4E29">
        <w:rPr>
          <w:lang w:val="nl-NL"/>
        </w:rPr>
        <w:t>n waar twijfel bestaat aan de toegevoegde waarde (zoals actief beheer) of waar met effectieve beheersing risico kan worden verlaagd (zoals liquiditeits- en operationele risico</w:t>
      </w:r>
      <w:r w:rsidRPr="006E4E29">
        <w:rPr>
          <w:rFonts w:hint="cs"/>
          <w:lang w:val="nl-NL"/>
        </w:rPr>
        <w:t>’</w:t>
      </w:r>
      <w:r w:rsidRPr="006E4E29">
        <w:rPr>
          <w:lang w:val="nl-NL"/>
        </w:rPr>
        <w:t>s).</w:t>
      </w:r>
    </w:p>
    <w:p w14:paraId="1A2E57D8" w14:textId="5B5907FC" w:rsidR="00A20C63" w:rsidRPr="006E4E29" w:rsidRDefault="00A20C63" w:rsidP="001E699B">
      <w:pPr>
        <w:pStyle w:val="Lijstalinea"/>
        <w:numPr>
          <w:ilvl w:val="0"/>
          <w:numId w:val="4"/>
        </w:numPr>
        <w:rPr>
          <w:lang w:val="nl-NL"/>
        </w:rPr>
      </w:pPr>
      <w:r w:rsidRPr="006E4E29">
        <w:rPr>
          <w:lang w:val="nl-NL"/>
        </w:rPr>
        <w:t xml:space="preserve">Door de hoge </w:t>
      </w:r>
      <w:r w:rsidRPr="006E4E29">
        <w:rPr>
          <w:rFonts w:hint="cs"/>
          <w:lang w:val="nl-NL"/>
        </w:rPr>
        <w:t>“</w:t>
      </w:r>
      <w:r w:rsidRPr="006E4E29">
        <w:rPr>
          <w:lang w:val="nl-NL"/>
        </w:rPr>
        <w:t>duration</w:t>
      </w:r>
      <w:r w:rsidRPr="006E4E29">
        <w:rPr>
          <w:rFonts w:hint="cs"/>
          <w:lang w:val="nl-NL"/>
        </w:rPr>
        <w:t>”</w:t>
      </w:r>
      <w:r w:rsidRPr="006E4E29">
        <w:rPr>
          <w:lang w:val="nl-NL"/>
        </w:rPr>
        <w:t xml:space="preserve"> kiest </w:t>
      </w:r>
      <w:r w:rsidR="00D646CD">
        <w:rPr>
          <w:lang w:val="nl-NL"/>
        </w:rPr>
        <w:t>ons</w:t>
      </w:r>
      <w:r w:rsidR="00D646CD" w:rsidRPr="006E4E29">
        <w:rPr>
          <w:lang w:val="nl-NL"/>
        </w:rPr>
        <w:t xml:space="preserve"> </w:t>
      </w:r>
      <w:r w:rsidR="001B2EC0" w:rsidRPr="006E4E29">
        <w:rPr>
          <w:lang w:val="nl-NL"/>
        </w:rPr>
        <w:t>fonds</w:t>
      </w:r>
      <w:r w:rsidRPr="006E4E29">
        <w:rPr>
          <w:lang w:val="nl-NL"/>
        </w:rPr>
        <w:t xml:space="preserve"> ervoor om de maximale wettelijke hersteltermijnen te hanteren bij een reservetekort en stelt </w:t>
      </w:r>
      <w:r w:rsidR="001B2EC0" w:rsidRPr="006E4E29">
        <w:rPr>
          <w:lang w:val="nl-NL"/>
        </w:rPr>
        <w:t>het fonds</w:t>
      </w:r>
      <w:r w:rsidRPr="006E4E29">
        <w:rPr>
          <w:lang w:val="nl-NL"/>
        </w:rPr>
        <w:t xml:space="preserve"> bij een reservetekort de strategische vermogensverdeling niet noodzakelijkerwijs bij, tenzij het toetsingskader daartoe dwingt of als marktverwachtingen ingrijpend veranderen.</w:t>
      </w:r>
    </w:p>
    <w:p w14:paraId="7EECAD2A" w14:textId="21790667" w:rsidR="00A20C63" w:rsidRPr="006E4E29" w:rsidRDefault="00A20C63" w:rsidP="001E699B">
      <w:pPr>
        <w:pStyle w:val="Lijstalinea"/>
        <w:numPr>
          <w:ilvl w:val="0"/>
          <w:numId w:val="4"/>
        </w:numPr>
        <w:rPr>
          <w:lang w:val="nl-NL"/>
        </w:rPr>
      </w:pPr>
      <w:r w:rsidRPr="006E4E29">
        <w:rPr>
          <w:lang w:val="nl-NL"/>
        </w:rPr>
        <w:t xml:space="preserve">Op basis van deze uitgangspunten is de genoemde bandbreedte bij het strategische VEV vastgesteld en bepaalt het bestuur van jaar tot jaar hoe deze bandbreedte kan worden ingevuld. Deze keuzes zijn uitgewerkt in het </w:t>
      </w:r>
      <w:r w:rsidR="003A5982" w:rsidRPr="006E4E29">
        <w:rPr>
          <w:lang w:val="nl-NL"/>
        </w:rPr>
        <w:t xml:space="preserve">plan met betrekking tot beleggings- en </w:t>
      </w:r>
      <w:r w:rsidR="00DB4B32" w:rsidRPr="006E4E29">
        <w:rPr>
          <w:lang w:val="nl-NL"/>
        </w:rPr>
        <w:t>renteafdekkingsbeleid</w:t>
      </w:r>
      <w:r w:rsidRPr="006E4E29">
        <w:rPr>
          <w:lang w:val="nl-NL"/>
        </w:rPr>
        <w:t xml:space="preserve"> en samengevat weergegeven in hoofdstuk 10 van deze ABTN en in de Verklaring inzake beleggingsbeginselen.</w:t>
      </w:r>
    </w:p>
    <w:p w14:paraId="58BC3132" w14:textId="77777777" w:rsidR="00BA4EE5" w:rsidRPr="006E4E29" w:rsidRDefault="00BA4EE5" w:rsidP="00A20C63">
      <w:pPr>
        <w:rPr>
          <w:lang w:val="nl-NL"/>
        </w:rPr>
      </w:pPr>
    </w:p>
    <w:p w14:paraId="46B83EA1" w14:textId="2C28EC47" w:rsidR="00BA4EE5" w:rsidRDefault="00A20C63" w:rsidP="00A20C63">
      <w:pPr>
        <w:rPr>
          <w:lang w:val="nl-NL"/>
        </w:rPr>
      </w:pPr>
      <w:r w:rsidRPr="006E4E29">
        <w:rPr>
          <w:lang w:val="nl-NL"/>
        </w:rPr>
        <w:t xml:space="preserve">Jaarlijks voert </w:t>
      </w:r>
      <w:r w:rsidR="004C5A55">
        <w:rPr>
          <w:lang w:val="nl-NL"/>
        </w:rPr>
        <w:t>ons</w:t>
      </w:r>
      <w:r w:rsidR="004C5A55" w:rsidRPr="006E4E29">
        <w:rPr>
          <w:lang w:val="nl-NL"/>
        </w:rPr>
        <w:t xml:space="preserve"> </w:t>
      </w:r>
      <w:r w:rsidR="001B2EC0" w:rsidRPr="006E4E29">
        <w:rPr>
          <w:lang w:val="nl-NL"/>
        </w:rPr>
        <w:t>fonds</w:t>
      </w:r>
      <w:r w:rsidRPr="006E4E29">
        <w:rPr>
          <w:lang w:val="nl-NL"/>
        </w:rPr>
        <w:t xml:space="preserve"> in het eerste</w:t>
      </w:r>
      <w:r w:rsidR="00277A7B" w:rsidRPr="006E4E29">
        <w:rPr>
          <w:lang w:val="nl-NL"/>
        </w:rPr>
        <w:t xml:space="preserve"> half jaar</w:t>
      </w:r>
      <w:r w:rsidRPr="006E4E29">
        <w:rPr>
          <w:lang w:val="nl-NL"/>
        </w:rPr>
        <w:t xml:space="preserve"> een haalbaarheidstoets uit op basis van het voorgeschreven model en de door DNB gepubliceerde economische scenarioset. In deze haalbaarheidstoets toetst </w:t>
      </w:r>
      <w:r w:rsidR="004C5A55">
        <w:rPr>
          <w:lang w:val="nl-NL"/>
        </w:rPr>
        <w:t>ons</w:t>
      </w:r>
      <w:r w:rsidR="004C5A55" w:rsidRPr="006E4E29">
        <w:rPr>
          <w:lang w:val="nl-NL"/>
        </w:rPr>
        <w:t xml:space="preserve"> </w:t>
      </w:r>
      <w:r w:rsidR="001B2EC0" w:rsidRPr="006E4E29">
        <w:rPr>
          <w:lang w:val="nl-NL"/>
        </w:rPr>
        <w:t>fonds</w:t>
      </w:r>
      <w:r w:rsidRPr="006E4E29">
        <w:rPr>
          <w:lang w:val="nl-NL"/>
        </w:rPr>
        <w:t xml:space="preserve"> in hoeverre het verwachte pensioenresultaat op fondsniveau aansluit bij de ondergrens die het</w:t>
      </w:r>
      <w:r w:rsidR="00FE03A8" w:rsidRPr="006E4E29">
        <w:rPr>
          <w:lang w:val="nl-NL"/>
        </w:rPr>
        <w:t xml:space="preserve"> </w:t>
      </w:r>
      <w:r w:rsidRPr="006E4E29">
        <w:rPr>
          <w:lang w:val="nl-NL"/>
        </w:rPr>
        <w:t>fonds beleidsmatig heeft geformuleerd en in hoeverre het verwachte pensioenresultaat onder een slechtweerscenario afwijkt van het gemidde</w:t>
      </w:r>
      <w:r w:rsidR="00BA4EE5" w:rsidRPr="006E4E29">
        <w:rPr>
          <w:lang w:val="nl-NL"/>
        </w:rPr>
        <w:t>ld verwachte pensioenresultaat.</w:t>
      </w:r>
    </w:p>
    <w:p w14:paraId="25477CCF" w14:textId="77777777" w:rsidR="00C26D62" w:rsidRDefault="00C26D62" w:rsidP="00A20C63">
      <w:pPr>
        <w:rPr>
          <w:lang w:val="nl-NL"/>
        </w:rPr>
      </w:pPr>
    </w:p>
    <w:p w14:paraId="6AE78930" w14:textId="77777777" w:rsidR="00BA4EE5" w:rsidRPr="00A20C63" w:rsidRDefault="00BA4EE5" w:rsidP="00A20C63">
      <w:pPr>
        <w:rPr>
          <w:lang w:val="nl-NL"/>
        </w:rPr>
      </w:pPr>
    </w:p>
    <w:p w14:paraId="4F86E0E9" w14:textId="77777777" w:rsidR="00A20C63" w:rsidRDefault="00A20C63" w:rsidP="00A20C63">
      <w:pPr>
        <w:pStyle w:val="Kop2"/>
        <w:rPr>
          <w:rFonts w:hint="eastAsia"/>
          <w:lang w:val="nl-NL"/>
        </w:rPr>
      </w:pPr>
      <w:bookmarkStart w:id="13" w:name="_Toc231804739"/>
      <w:r w:rsidRPr="00BA4EE5">
        <w:rPr>
          <w:lang w:val="nl-NL"/>
        </w:rPr>
        <w:t>Pensioenuitvoering en communicatie</w:t>
      </w:r>
      <w:bookmarkEnd w:id="13"/>
    </w:p>
    <w:p w14:paraId="046F28D5" w14:textId="77777777" w:rsidR="00BA4EE5" w:rsidRPr="00BA4EE5" w:rsidRDefault="00BA4EE5" w:rsidP="00BA4EE5">
      <w:pPr>
        <w:rPr>
          <w:lang w:val="nl-NL"/>
        </w:rPr>
      </w:pPr>
    </w:p>
    <w:p w14:paraId="377E3338" w14:textId="38FD1AC3" w:rsidR="00A20C63" w:rsidRPr="00A20C63" w:rsidRDefault="00A20C63" w:rsidP="00A20C63">
      <w:pPr>
        <w:rPr>
          <w:lang w:val="nl-NL"/>
        </w:rPr>
      </w:pPr>
      <w:r w:rsidRPr="00A20C63">
        <w:rPr>
          <w:lang w:val="nl-NL"/>
        </w:rPr>
        <w:t xml:space="preserve">Het communicatiebeleid van </w:t>
      </w:r>
      <w:r w:rsidR="004C5A55">
        <w:rPr>
          <w:lang w:val="nl-NL"/>
        </w:rPr>
        <w:t>ons fonds</w:t>
      </w:r>
      <w:r w:rsidRPr="00A20C63">
        <w:rPr>
          <w:lang w:val="nl-NL"/>
        </w:rPr>
        <w:t xml:space="preserve"> is geformuleerd in het communicatiebeleidsplan.</w:t>
      </w:r>
    </w:p>
    <w:p w14:paraId="7F7FBBE3" w14:textId="3111E682" w:rsidR="00A20C63" w:rsidRPr="001656BC" w:rsidRDefault="004C5A55" w:rsidP="001E699B">
      <w:pPr>
        <w:pStyle w:val="Lijstalinea"/>
        <w:numPr>
          <w:ilvl w:val="0"/>
          <w:numId w:val="5"/>
        </w:numPr>
        <w:rPr>
          <w:lang w:val="nl-NL"/>
        </w:rPr>
      </w:pPr>
      <w:r>
        <w:rPr>
          <w:lang w:val="nl-NL"/>
        </w:rPr>
        <w:t>Ons fonds</w:t>
      </w:r>
      <w:r w:rsidR="00A20C63" w:rsidRPr="001656BC">
        <w:rPr>
          <w:lang w:val="nl-NL"/>
        </w:rPr>
        <w:t xml:space="preserve"> </w:t>
      </w:r>
      <w:r w:rsidR="006F50ED">
        <w:rPr>
          <w:lang w:val="nl-NL"/>
        </w:rPr>
        <w:t xml:space="preserve">besteedt </w:t>
      </w:r>
      <w:r w:rsidR="00A20C63" w:rsidRPr="001656BC">
        <w:rPr>
          <w:lang w:val="nl-NL"/>
        </w:rPr>
        <w:t xml:space="preserve"> bovengemiddeld aandacht an het creëren van bewustzijn bij de werknemers over de risico’s van een CDC</w:t>
      </w:r>
      <w:r w:rsidR="00792C76">
        <w:rPr>
          <w:lang w:val="nl-NL"/>
        </w:rPr>
        <w:t>-</w:t>
      </w:r>
      <w:r w:rsidR="00C26D62">
        <w:rPr>
          <w:lang w:val="nl-NL"/>
        </w:rPr>
        <w:t>pensioen</w:t>
      </w:r>
      <w:r w:rsidR="00A20C63" w:rsidRPr="001656BC">
        <w:rPr>
          <w:lang w:val="nl-NL"/>
        </w:rPr>
        <w:t>regeling.</w:t>
      </w:r>
    </w:p>
    <w:p w14:paraId="64AFC77B" w14:textId="16C4D01D" w:rsidR="00E74964" w:rsidRDefault="00A20C63" w:rsidP="001E699B">
      <w:pPr>
        <w:pStyle w:val="Lijstalinea"/>
        <w:numPr>
          <w:ilvl w:val="0"/>
          <w:numId w:val="5"/>
        </w:numPr>
        <w:rPr>
          <w:lang w:val="nl-NL"/>
        </w:rPr>
      </w:pPr>
      <w:r w:rsidRPr="001656BC">
        <w:rPr>
          <w:lang w:val="nl-NL"/>
        </w:rPr>
        <w:t xml:space="preserve">Pensioenuitvoering gaat gepaard met kosten en met operationele risico’s: door de </w:t>
      </w:r>
      <w:r w:rsidR="00C26D62">
        <w:rPr>
          <w:lang w:val="nl-NL"/>
        </w:rPr>
        <w:t>CDC-pensioenregeling</w:t>
      </w:r>
      <w:r w:rsidRPr="001656BC">
        <w:rPr>
          <w:lang w:val="nl-NL"/>
        </w:rPr>
        <w:t xml:space="preserve">(en) </w:t>
      </w:r>
      <w:r w:rsidR="009A1682">
        <w:rPr>
          <w:lang w:val="nl-NL"/>
        </w:rPr>
        <w:t xml:space="preserve">waar mogelijk </w:t>
      </w:r>
      <w:r w:rsidRPr="001656BC">
        <w:rPr>
          <w:lang w:val="nl-NL"/>
        </w:rPr>
        <w:t xml:space="preserve">eenvoudig te houden en door zich te beperken tot zijn kerntaken probeert </w:t>
      </w:r>
      <w:r w:rsidR="004C5A55">
        <w:rPr>
          <w:lang w:val="nl-NL"/>
        </w:rPr>
        <w:t xml:space="preserve">ons </w:t>
      </w:r>
      <w:r w:rsidR="001B2EC0">
        <w:rPr>
          <w:lang w:val="nl-NL"/>
        </w:rPr>
        <w:t>fonds</w:t>
      </w:r>
      <w:r w:rsidRPr="001656BC">
        <w:rPr>
          <w:lang w:val="nl-NL"/>
        </w:rPr>
        <w:t xml:space="preserve"> kosten te besparen en operationele risico’s te vermijden.</w:t>
      </w:r>
    </w:p>
    <w:p w14:paraId="4684B41E" w14:textId="5526BBE2" w:rsidR="00A20C63" w:rsidRPr="001656BC" w:rsidRDefault="004C5A55" w:rsidP="001E699B">
      <w:pPr>
        <w:pStyle w:val="Lijstalinea"/>
        <w:numPr>
          <w:ilvl w:val="0"/>
          <w:numId w:val="5"/>
        </w:numPr>
        <w:rPr>
          <w:lang w:val="nl-NL"/>
        </w:rPr>
      </w:pPr>
      <w:r>
        <w:rPr>
          <w:lang w:val="nl-NL"/>
        </w:rPr>
        <w:t>Ons</w:t>
      </w:r>
      <w:r w:rsidRPr="00B6584D">
        <w:rPr>
          <w:lang w:val="nl-NL"/>
        </w:rPr>
        <w:t xml:space="preserve"> </w:t>
      </w:r>
      <w:r w:rsidR="00E74964" w:rsidRPr="00B6584D">
        <w:rPr>
          <w:lang w:val="nl-NL"/>
        </w:rPr>
        <w:t xml:space="preserve">fonds heeft de ambitie om zo veel mogelijk digitaal te communiceren. Dit is in het belang van de deelnemers, omdat </w:t>
      </w:r>
      <w:r>
        <w:rPr>
          <w:lang w:val="nl-NL"/>
        </w:rPr>
        <w:t>we</w:t>
      </w:r>
      <w:r w:rsidR="00E74964" w:rsidRPr="00B6584D">
        <w:rPr>
          <w:lang w:val="nl-NL"/>
        </w:rPr>
        <w:t xml:space="preserve"> zoveel mogelijk inzicht wil</w:t>
      </w:r>
      <w:r>
        <w:rPr>
          <w:lang w:val="nl-NL"/>
        </w:rPr>
        <w:t>len</w:t>
      </w:r>
      <w:r w:rsidR="00E74964" w:rsidRPr="00B6584D">
        <w:rPr>
          <w:lang w:val="nl-NL"/>
        </w:rPr>
        <w:t xml:space="preserve"> geven in het te bereiken pensioeninkomen en de mogelijkheden om dat pensioeninkomen aan te vullen w</w:t>
      </w:r>
      <w:r w:rsidR="00E74964" w:rsidRPr="007F7155">
        <w:rPr>
          <w:lang w:val="nl-NL"/>
        </w:rPr>
        <w:t>anneer dat nodig is</w:t>
      </w:r>
      <w:r w:rsidR="00E74964" w:rsidRPr="00482B7C">
        <w:rPr>
          <w:rFonts w:ascii="Frutiger Light" w:eastAsia="Frutiger Light" w:hAnsi="Frutiger Light"/>
          <w:lang w:val="nl-NL"/>
        </w:rPr>
        <w:t>.</w:t>
      </w:r>
      <w:r w:rsidR="00BA4EE5">
        <w:rPr>
          <w:lang w:val="nl-NL"/>
        </w:rPr>
        <w:br/>
      </w:r>
    </w:p>
    <w:p w14:paraId="6BFEB518" w14:textId="77777777" w:rsidR="00A20C63" w:rsidRPr="00BA4EE5" w:rsidRDefault="00A20C63" w:rsidP="00A20C63">
      <w:pPr>
        <w:pStyle w:val="Kop2"/>
        <w:rPr>
          <w:rFonts w:hint="eastAsia"/>
          <w:lang w:val="nl-NL"/>
        </w:rPr>
      </w:pPr>
      <w:bookmarkStart w:id="14" w:name="_Toc231804740"/>
      <w:r w:rsidRPr="00BA4EE5">
        <w:rPr>
          <w:lang w:val="nl-NL"/>
        </w:rPr>
        <w:lastRenderedPageBreak/>
        <w:t>Uitbesteding</w:t>
      </w:r>
      <w:bookmarkEnd w:id="14"/>
    </w:p>
    <w:p w14:paraId="25763D86" w14:textId="6418AE38" w:rsidR="00A20C63" w:rsidRPr="001656BC" w:rsidRDefault="004C5A55" w:rsidP="001E699B">
      <w:pPr>
        <w:pStyle w:val="Lijstalinea"/>
        <w:numPr>
          <w:ilvl w:val="0"/>
          <w:numId w:val="6"/>
        </w:numPr>
        <w:rPr>
          <w:lang w:val="nl-NL"/>
        </w:rPr>
      </w:pPr>
      <w:r>
        <w:rPr>
          <w:lang w:val="nl-NL"/>
        </w:rPr>
        <w:t xml:space="preserve">Ons </w:t>
      </w:r>
      <w:r w:rsidR="001B2EC0">
        <w:rPr>
          <w:lang w:val="nl-NL"/>
        </w:rPr>
        <w:t>fonds</w:t>
      </w:r>
      <w:r w:rsidR="00A20C63" w:rsidRPr="001656BC">
        <w:rPr>
          <w:lang w:val="nl-NL"/>
        </w:rPr>
        <w:t xml:space="preserve"> heeft een hoge uitbestedingsgraad en besteedt processen bij voorkeur uit aan externe (markt)-partijen met het oog op het behalen van schaalvoordelen, continuïteitsvoordelen en een hoog en constant kwaliteitsniveau.</w:t>
      </w:r>
    </w:p>
    <w:p w14:paraId="4423156C" w14:textId="4B8DCF44" w:rsidR="00A20C63" w:rsidRPr="001656BC" w:rsidRDefault="004C5A55" w:rsidP="001E699B">
      <w:pPr>
        <w:pStyle w:val="Lijstalinea"/>
        <w:numPr>
          <w:ilvl w:val="0"/>
          <w:numId w:val="6"/>
        </w:numPr>
        <w:rPr>
          <w:lang w:val="nl-NL"/>
        </w:rPr>
      </w:pPr>
      <w:r>
        <w:rPr>
          <w:lang w:val="nl-NL"/>
        </w:rPr>
        <w:t xml:space="preserve">Ons </w:t>
      </w:r>
      <w:r w:rsidR="001B2EC0">
        <w:rPr>
          <w:lang w:val="nl-NL"/>
        </w:rPr>
        <w:t>fonds</w:t>
      </w:r>
      <w:r w:rsidR="00A20C63" w:rsidRPr="001656BC">
        <w:rPr>
          <w:lang w:val="nl-NL"/>
        </w:rPr>
        <w:t xml:space="preserve"> hanteert een uitgebreid uitbestedingsbeleid</w:t>
      </w:r>
      <w:r w:rsidR="00BE577A">
        <w:rPr>
          <w:lang w:val="nl-NL"/>
        </w:rPr>
        <w:t>, waarin selectie, monitoring en evaluatie van uitbestedingspartners wordt beschreven.</w:t>
      </w:r>
      <w:r w:rsidR="00A20C63" w:rsidRPr="001656BC">
        <w:rPr>
          <w:lang w:val="nl-NL"/>
        </w:rPr>
        <w:t xml:space="preserve">  </w:t>
      </w:r>
      <w:r>
        <w:rPr>
          <w:lang w:val="nl-NL"/>
        </w:rPr>
        <w:t>We nemen</w:t>
      </w:r>
      <w:r w:rsidR="00A20C63" w:rsidRPr="001656BC">
        <w:rPr>
          <w:lang w:val="nl-NL"/>
        </w:rPr>
        <w:t xml:space="preserve"> een actieve houding aan in de aansturing en de monitoring van uitbestedingspartners.</w:t>
      </w:r>
    </w:p>
    <w:p w14:paraId="10F99E9D" w14:textId="1998428E" w:rsidR="00A20C63" w:rsidRPr="00BA4EE5" w:rsidRDefault="004C5A55" w:rsidP="001E699B">
      <w:pPr>
        <w:pStyle w:val="Lijstalinea"/>
        <w:numPr>
          <w:ilvl w:val="0"/>
          <w:numId w:val="6"/>
        </w:numPr>
        <w:rPr>
          <w:lang w:val="nl-NL"/>
        </w:rPr>
      </w:pPr>
      <w:r>
        <w:rPr>
          <w:lang w:val="nl-NL"/>
        </w:rPr>
        <w:t xml:space="preserve">Ons </w:t>
      </w:r>
      <w:r w:rsidR="001B2EC0">
        <w:rPr>
          <w:lang w:val="nl-NL"/>
        </w:rPr>
        <w:t>fonds</w:t>
      </w:r>
      <w:r w:rsidR="00A20C63" w:rsidRPr="00BA4EE5">
        <w:rPr>
          <w:lang w:val="nl-NL"/>
        </w:rPr>
        <w:t xml:space="preserve"> houdt via een bestuursbureau doorlopend toezicht op het presteren van uitbestedingspartners</w:t>
      </w:r>
      <w:r w:rsidR="00D5138A">
        <w:rPr>
          <w:lang w:val="nl-NL"/>
        </w:rPr>
        <w:t>. We</w:t>
      </w:r>
      <w:r w:rsidR="00A20C63" w:rsidRPr="00BA4EE5">
        <w:rPr>
          <w:lang w:val="nl-NL"/>
        </w:rPr>
        <w:t xml:space="preserve"> </w:t>
      </w:r>
      <w:r w:rsidR="00D5138A">
        <w:rPr>
          <w:lang w:val="nl-NL"/>
        </w:rPr>
        <w:t>vermijden</w:t>
      </w:r>
      <w:r w:rsidR="00A20C63" w:rsidRPr="00BA4EE5">
        <w:rPr>
          <w:lang w:val="nl-NL"/>
        </w:rPr>
        <w:t xml:space="preserve"> een eenzijdige afhankelijkheid en </w:t>
      </w:r>
      <w:r w:rsidR="00D5138A">
        <w:rPr>
          <w:lang w:val="nl-NL"/>
        </w:rPr>
        <w:t>schromen</w:t>
      </w:r>
      <w:r w:rsidR="00A20C63" w:rsidRPr="00BA4EE5">
        <w:rPr>
          <w:lang w:val="nl-NL"/>
        </w:rPr>
        <w:t xml:space="preserve"> niet om uitbestedingspartners te vervangen die niet (langer) diensten leveren op marktconforme condities of die de afgesproken kwaliteitseisen niet halen.</w:t>
      </w:r>
      <w:r w:rsidR="00BA4EE5">
        <w:rPr>
          <w:lang w:val="nl-NL"/>
        </w:rPr>
        <w:br/>
      </w:r>
    </w:p>
    <w:p w14:paraId="5346A05C" w14:textId="77777777" w:rsidR="00A20C63" w:rsidRPr="00BA4EE5" w:rsidRDefault="00A20C63" w:rsidP="00A20C63">
      <w:pPr>
        <w:pStyle w:val="Kop2"/>
        <w:rPr>
          <w:rFonts w:hint="eastAsia"/>
          <w:lang w:val="nl-NL"/>
        </w:rPr>
      </w:pPr>
      <w:bookmarkStart w:id="15" w:name="_Toc231804741"/>
      <w:r w:rsidRPr="00BA4EE5">
        <w:rPr>
          <w:lang w:val="nl-NL"/>
        </w:rPr>
        <w:t>Governance &amp; compliance</w:t>
      </w:r>
      <w:bookmarkEnd w:id="15"/>
    </w:p>
    <w:p w14:paraId="5782D385" w14:textId="44DA6B5A" w:rsidR="00A20C63" w:rsidRPr="001656BC" w:rsidRDefault="00D5138A" w:rsidP="001E699B">
      <w:pPr>
        <w:pStyle w:val="Lijstalinea"/>
        <w:numPr>
          <w:ilvl w:val="0"/>
          <w:numId w:val="7"/>
        </w:numPr>
        <w:rPr>
          <w:lang w:val="nl-NL"/>
        </w:rPr>
      </w:pPr>
      <w:r>
        <w:rPr>
          <w:lang w:val="nl-NL"/>
        </w:rPr>
        <w:t xml:space="preserve">Ons </w:t>
      </w:r>
      <w:r w:rsidR="001B2EC0">
        <w:rPr>
          <w:lang w:val="nl-NL"/>
        </w:rPr>
        <w:t>fonds</w:t>
      </w:r>
      <w:r w:rsidR="00A20C63" w:rsidRPr="001656BC">
        <w:rPr>
          <w:lang w:val="nl-NL"/>
        </w:rPr>
        <w:t xml:space="preserve"> is het ondernemingspensioenfonds verbonden aan ING en zal zich onthouden van activiteiten die de goede naam en reputatie van ING kunnen schaden.</w:t>
      </w:r>
    </w:p>
    <w:p w14:paraId="50F976F2" w14:textId="7F10E723" w:rsidR="00A20C63" w:rsidRPr="001656BC" w:rsidRDefault="00D5138A" w:rsidP="001E699B">
      <w:pPr>
        <w:pStyle w:val="Lijstalinea"/>
        <w:numPr>
          <w:ilvl w:val="0"/>
          <w:numId w:val="7"/>
        </w:numPr>
        <w:rPr>
          <w:lang w:val="nl-NL"/>
        </w:rPr>
      </w:pPr>
      <w:r>
        <w:rPr>
          <w:lang w:val="nl-NL"/>
        </w:rPr>
        <w:t xml:space="preserve">Ons </w:t>
      </w:r>
      <w:r w:rsidR="001B2EC0">
        <w:rPr>
          <w:lang w:val="nl-NL"/>
        </w:rPr>
        <w:t>fonds</w:t>
      </w:r>
      <w:r w:rsidR="00A20C63" w:rsidRPr="001656BC">
        <w:rPr>
          <w:lang w:val="nl-NL"/>
        </w:rPr>
        <w:t xml:space="preserve"> staat zelfstandig onder </w:t>
      </w:r>
      <w:r w:rsidR="00C54240">
        <w:rPr>
          <w:lang w:val="nl-NL"/>
        </w:rPr>
        <w:t xml:space="preserve">extern </w:t>
      </w:r>
      <w:r w:rsidR="00A20C63" w:rsidRPr="001656BC">
        <w:rPr>
          <w:lang w:val="nl-NL"/>
        </w:rPr>
        <w:t xml:space="preserve">toezicht van DNB en AFM. Compliance met wet- en regelgeving en integriteit staan voorop in de bedrijfsvoering. </w:t>
      </w:r>
    </w:p>
    <w:p w14:paraId="0D5515C2" w14:textId="400E1483" w:rsidR="00A20C63" w:rsidRPr="001656BC" w:rsidRDefault="00D5138A" w:rsidP="001E699B">
      <w:pPr>
        <w:pStyle w:val="Lijstalinea"/>
        <w:numPr>
          <w:ilvl w:val="0"/>
          <w:numId w:val="7"/>
        </w:numPr>
        <w:rPr>
          <w:lang w:val="nl-NL"/>
        </w:rPr>
      </w:pPr>
      <w:r>
        <w:rPr>
          <w:lang w:val="nl-NL"/>
        </w:rPr>
        <w:t xml:space="preserve">Ons </w:t>
      </w:r>
      <w:r w:rsidR="001B2EC0">
        <w:rPr>
          <w:lang w:val="nl-NL"/>
        </w:rPr>
        <w:t>fonds</w:t>
      </w:r>
      <w:r w:rsidR="00A20C63" w:rsidRPr="001656BC">
        <w:rPr>
          <w:lang w:val="nl-NL"/>
        </w:rPr>
        <w:t xml:space="preserve"> waarborgt dat interne en externe toezichtprocessen onverstoord kunnen verlopen en dat interne en externe toezichthouders hun taak vrij kunnen uitvoeren. </w:t>
      </w:r>
    </w:p>
    <w:p w14:paraId="14305FE9" w14:textId="1E66F7E5" w:rsidR="00A20C63" w:rsidRDefault="00D5138A" w:rsidP="001E699B">
      <w:pPr>
        <w:pStyle w:val="Lijstalinea"/>
        <w:numPr>
          <w:ilvl w:val="0"/>
          <w:numId w:val="7"/>
        </w:numPr>
        <w:rPr>
          <w:lang w:val="nl-NL"/>
        </w:rPr>
      </w:pPr>
      <w:r>
        <w:rPr>
          <w:lang w:val="nl-NL"/>
        </w:rPr>
        <w:t xml:space="preserve">Ons </w:t>
      </w:r>
      <w:r w:rsidR="001B2EC0">
        <w:rPr>
          <w:lang w:val="nl-NL"/>
        </w:rPr>
        <w:t>fonds</w:t>
      </w:r>
      <w:r w:rsidR="00A20C63" w:rsidRPr="001656BC">
        <w:rPr>
          <w:lang w:val="nl-NL"/>
        </w:rPr>
        <w:t xml:space="preserve"> conformeert zich in zijn bedrijfsvoering aan </w:t>
      </w:r>
      <w:r w:rsidR="006F50ED">
        <w:rPr>
          <w:lang w:val="nl-NL"/>
        </w:rPr>
        <w:t xml:space="preserve">zijn gedragscode </w:t>
      </w:r>
    </w:p>
    <w:p w14:paraId="0D35D07A" w14:textId="6F40CE47" w:rsidR="00F74EA0" w:rsidRPr="00374B87" w:rsidRDefault="00D5138A" w:rsidP="001E699B">
      <w:pPr>
        <w:pStyle w:val="Lijstalinea"/>
        <w:numPr>
          <w:ilvl w:val="0"/>
          <w:numId w:val="7"/>
        </w:numPr>
        <w:rPr>
          <w:lang w:val="nl-NL"/>
        </w:rPr>
      </w:pPr>
      <w:r>
        <w:rPr>
          <w:lang w:val="nl-NL"/>
        </w:rPr>
        <w:t xml:space="preserve">Ons </w:t>
      </w:r>
      <w:r w:rsidR="00F74EA0">
        <w:rPr>
          <w:lang w:val="nl-NL"/>
        </w:rPr>
        <w:t>fonds toetst jaarlijks of het voldoet aan de normen van de Code Pensioenfondsen, die door de Pensioenfederatie</w:t>
      </w:r>
      <w:r w:rsidR="006F50ED">
        <w:rPr>
          <w:lang w:val="nl-NL"/>
        </w:rPr>
        <w:t xml:space="preserve"> en de Stichting van de Arbeid</w:t>
      </w:r>
      <w:r w:rsidR="00F74EA0">
        <w:rPr>
          <w:lang w:val="nl-NL"/>
        </w:rPr>
        <w:t xml:space="preserve"> is opgesteld.</w:t>
      </w:r>
      <w:r w:rsidR="006F50ED">
        <w:rPr>
          <w:lang w:val="nl-NL"/>
        </w:rPr>
        <w:t>.</w:t>
      </w:r>
    </w:p>
    <w:p w14:paraId="1EDC3C79" w14:textId="77777777" w:rsidR="001656BC" w:rsidRDefault="001656BC" w:rsidP="00A20C63">
      <w:pPr>
        <w:rPr>
          <w:lang w:val="nl-NL"/>
        </w:rPr>
      </w:pPr>
    </w:p>
    <w:p w14:paraId="0208A4BC" w14:textId="77777777" w:rsidR="001656BC" w:rsidRDefault="001656BC">
      <w:pPr>
        <w:spacing w:after="200" w:line="276" w:lineRule="auto"/>
        <w:rPr>
          <w:lang w:val="nl-NL"/>
        </w:rPr>
      </w:pPr>
      <w:r>
        <w:rPr>
          <w:lang w:val="nl-NL"/>
        </w:rPr>
        <w:br w:type="page"/>
      </w:r>
    </w:p>
    <w:p w14:paraId="20A46B4F" w14:textId="77777777" w:rsidR="00A20C63" w:rsidRPr="00A20C63" w:rsidRDefault="00A20C63" w:rsidP="001656BC">
      <w:pPr>
        <w:pStyle w:val="Kop1"/>
        <w:rPr>
          <w:rFonts w:hint="eastAsia"/>
          <w:lang w:val="nl-NL"/>
        </w:rPr>
      </w:pPr>
      <w:bookmarkStart w:id="16" w:name="_Toc231804742"/>
      <w:r w:rsidRPr="00A20C63">
        <w:rPr>
          <w:lang w:val="nl-NL"/>
        </w:rPr>
        <w:lastRenderedPageBreak/>
        <w:t>De organisatie</w:t>
      </w:r>
      <w:bookmarkEnd w:id="16"/>
    </w:p>
    <w:p w14:paraId="5EB57337" w14:textId="77777777" w:rsidR="00A20C63" w:rsidRPr="00A20C63" w:rsidRDefault="00A20C63" w:rsidP="001656BC">
      <w:pPr>
        <w:pStyle w:val="Kop2"/>
        <w:rPr>
          <w:rFonts w:hint="eastAsia"/>
          <w:lang w:val="nl-NL"/>
        </w:rPr>
      </w:pPr>
      <w:bookmarkStart w:id="17" w:name="_Toc231804743"/>
      <w:r w:rsidRPr="00A20C63">
        <w:rPr>
          <w:lang w:val="nl-NL"/>
        </w:rPr>
        <w:t>Stichting ING CDC Pensioenfonds</w:t>
      </w:r>
      <w:bookmarkEnd w:id="17"/>
    </w:p>
    <w:p w14:paraId="7211FAB1" w14:textId="77777777" w:rsidR="00A20C63" w:rsidRPr="00A20C63" w:rsidRDefault="00A20C63" w:rsidP="00A20C63">
      <w:pPr>
        <w:rPr>
          <w:lang w:val="nl-NL"/>
        </w:rPr>
      </w:pPr>
    </w:p>
    <w:p w14:paraId="67BE0FD6" w14:textId="77777777" w:rsidR="00A20C63" w:rsidRPr="00A20C63" w:rsidRDefault="00A20C63" w:rsidP="00A20C63">
      <w:pPr>
        <w:rPr>
          <w:lang w:val="nl-NL"/>
        </w:rPr>
      </w:pPr>
    </w:p>
    <w:p w14:paraId="0172839A" w14:textId="77777777" w:rsidR="00A20C63" w:rsidRPr="001656BC" w:rsidRDefault="00A20C63" w:rsidP="00A20C63">
      <w:pPr>
        <w:rPr>
          <w:i/>
          <w:lang w:val="nl-NL"/>
        </w:rPr>
      </w:pPr>
      <w:r w:rsidRPr="001656BC">
        <w:rPr>
          <w:i/>
          <w:lang w:val="nl-NL"/>
        </w:rPr>
        <w:t>Organisatie</w:t>
      </w:r>
    </w:p>
    <w:p w14:paraId="212F4BEA" w14:textId="24365B94" w:rsidR="00A20C63" w:rsidRPr="00A20C63" w:rsidRDefault="00D5138A" w:rsidP="00A20C63">
      <w:pPr>
        <w:rPr>
          <w:lang w:val="nl-NL"/>
        </w:rPr>
      </w:pPr>
      <w:r>
        <w:rPr>
          <w:lang w:val="nl-NL"/>
        </w:rPr>
        <w:t>Ons</w:t>
      </w:r>
      <w:r w:rsidRPr="00A20C63">
        <w:rPr>
          <w:lang w:val="nl-NL"/>
        </w:rPr>
        <w:t xml:space="preserve"> </w:t>
      </w:r>
      <w:r w:rsidR="00A20C63" w:rsidRPr="00A20C63">
        <w:rPr>
          <w:lang w:val="nl-NL"/>
        </w:rPr>
        <w:t xml:space="preserve">fonds kent een paritair bestuur, een verantwoordingsorgaan en </w:t>
      </w:r>
      <w:r w:rsidR="0015798A">
        <w:rPr>
          <w:lang w:val="nl-NL"/>
        </w:rPr>
        <w:t>een raad van toezicht</w:t>
      </w:r>
      <w:r w:rsidR="00A20C63" w:rsidRPr="00A20C63">
        <w:rPr>
          <w:lang w:val="nl-NL"/>
        </w:rPr>
        <w:t xml:space="preserve">. </w:t>
      </w:r>
    </w:p>
    <w:p w14:paraId="2E8026DA" w14:textId="53623BEE" w:rsidR="00A20C63" w:rsidRDefault="00A20C63" w:rsidP="00A20C63">
      <w:pPr>
        <w:rPr>
          <w:rFonts w:cs="Calibri"/>
          <w:color w:val="000000"/>
          <w:szCs w:val="20"/>
          <w:lang w:val="nl-NL"/>
        </w:rPr>
      </w:pPr>
      <w:r w:rsidRPr="00A20C63">
        <w:rPr>
          <w:lang w:val="nl-NL"/>
        </w:rPr>
        <w:t>De bestuurlijke organisatie van het fonds is vastgelegd in de statuten.</w:t>
      </w:r>
      <w:r w:rsidR="00CC3DFD">
        <w:rPr>
          <w:lang w:val="nl-NL"/>
        </w:rPr>
        <w:t xml:space="preserve"> </w:t>
      </w:r>
      <w:r w:rsidR="00CC3DFD" w:rsidRPr="006B5FB0">
        <w:rPr>
          <w:rFonts w:cs="Calibri"/>
          <w:color w:val="000000"/>
          <w:szCs w:val="20"/>
          <w:lang w:val="nl-NL"/>
        </w:rPr>
        <w:t>Tevens heeft het bestuur sleutelfunctiehouders en -vervullers in de zin van artikel 143a Pensioenwet benoemd.</w:t>
      </w:r>
    </w:p>
    <w:p w14:paraId="7AA1F34C" w14:textId="77777777" w:rsidR="00CC3DFD" w:rsidRPr="00A20C63" w:rsidRDefault="00CC3DFD" w:rsidP="00A20C63">
      <w:pPr>
        <w:rPr>
          <w:lang w:val="nl-NL"/>
        </w:rPr>
      </w:pPr>
    </w:p>
    <w:p w14:paraId="055F4C2F" w14:textId="5463F1E4" w:rsidR="00A20C63" w:rsidRPr="00A20C63" w:rsidRDefault="00A20C63" w:rsidP="00A20C63">
      <w:pPr>
        <w:rPr>
          <w:lang w:val="nl-NL"/>
        </w:rPr>
      </w:pPr>
      <w:r w:rsidRPr="00A20C63">
        <w:rPr>
          <w:lang w:val="nl-NL"/>
        </w:rPr>
        <w:t>Voor alle aan het fonds verbonden personen geldt de gedragscode. Voor verbonden personen die tevens ING-medewerker zijn, geld</w:t>
      </w:r>
      <w:r w:rsidR="00EC4665">
        <w:rPr>
          <w:lang w:val="nl-NL"/>
        </w:rPr>
        <w:t>t</w:t>
      </w:r>
      <w:r w:rsidRPr="00A20C63">
        <w:rPr>
          <w:lang w:val="nl-NL"/>
        </w:rPr>
        <w:t xml:space="preserve"> bovendien de</w:t>
      </w:r>
      <w:r w:rsidR="00EC4665">
        <w:rPr>
          <w:lang w:val="nl-NL"/>
        </w:rPr>
        <w:t xml:space="preserve"> Orange Code</w:t>
      </w:r>
      <w:r w:rsidRPr="00A20C63">
        <w:rPr>
          <w:lang w:val="nl-NL"/>
        </w:rPr>
        <w:t xml:space="preserve">. Personen die direct of indirect bij transacties van </w:t>
      </w:r>
      <w:r w:rsidR="00D5138A">
        <w:rPr>
          <w:lang w:val="nl-NL"/>
        </w:rPr>
        <w:t>ons</w:t>
      </w:r>
      <w:r w:rsidR="00D5138A" w:rsidRPr="00A20C63">
        <w:rPr>
          <w:lang w:val="nl-NL"/>
        </w:rPr>
        <w:t xml:space="preserve"> </w:t>
      </w:r>
      <w:r w:rsidRPr="00A20C63">
        <w:rPr>
          <w:lang w:val="nl-NL"/>
        </w:rPr>
        <w:t>fonds in financiële instrumenten betrokken zijn of over voorwetenschap kunnen beschikken zijn als insider aangemerkt. Voor hen zijn in de gedragscode specifieke regels voor het verrichten van eigen transacties opgenomen.</w:t>
      </w:r>
    </w:p>
    <w:p w14:paraId="33FA4DC7" w14:textId="77777777" w:rsidR="00A20C63" w:rsidRPr="00A20C63" w:rsidRDefault="00A20C63" w:rsidP="00A20C63">
      <w:pPr>
        <w:rPr>
          <w:lang w:val="nl-NL"/>
        </w:rPr>
      </w:pPr>
    </w:p>
    <w:p w14:paraId="588D3839" w14:textId="77777777" w:rsidR="00A20C63" w:rsidRPr="00A20C63" w:rsidRDefault="00A20C63" w:rsidP="001656BC">
      <w:pPr>
        <w:pStyle w:val="Kop2"/>
        <w:rPr>
          <w:rFonts w:hint="eastAsia"/>
          <w:lang w:val="nl-NL"/>
        </w:rPr>
      </w:pPr>
      <w:bookmarkStart w:id="18" w:name="_Toc231804744"/>
      <w:r w:rsidRPr="00A20C63">
        <w:rPr>
          <w:lang w:val="nl-NL"/>
        </w:rPr>
        <w:t>Organisatieschema</w:t>
      </w:r>
      <w:bookmarkEnd w:id="18"/>
    </w:p>
    <w:p w14:paraId="3CB2BDC8" w14:textId="34806F96" w:rsidR="00F27A0A" w:rsidRDefault="00A20C63" w:rsidP="00F27A0A">
      <w:pPr>
        <w:rPr>
          <w:lang w:val="nl-NL"/>
        </w:rPr>
      </w:pPr>
      <w:r w:rsidRPr="00A20C63">
        <w:rPr>
          <w:lang w:val="nl-NL"/>
        </w:rPr>
        <w:t xml:space="preserve">In onderstaand organogram </w:t>
      </w:r>
      <w:r w:rsidR="00032F6C">
        <w:rPr>
          <w:lang w:val="nl-NL"/>
        </w:rPr>
        <w:t>is de inrichting van de sleutelfuncties onder IORP II weergegeven. In paragraaf 3.3.1 wordt één en ander verder uitgewerkt.</w:t>
      </w:r>
    </w:p>
    <w:p w14:paraId="60D63331" w14:textId="246B160C" w:rsidR="00CC3DFD" w:rsidRDefault="00CC3DFD" w:rsidP="00F27A0A">
      <w:pPr>
        <w:rPr>
          <w:lang w:val="nl-NL"/>
        </w:rPr>
      </w:pPr>
    </w:p>
    <w:p w14:paraId="3B399B5C" w14:textId="0DFF1CE8" w:rsidR="00CC3DFD" w:rsidRDefault="00032F6C" w:rsidP="00F27A0A">
      <w:pPr>
        <w:rPr>
          <w:lang w:val="nl-NL"/>
        </w:rPr>
      </w:pPr>
      <w:r w:rsidRPr="00032F6C">
        <w:rPr>
          <w:noProof/>
        </w:rPr>
        <w:drawing>
          <wp:inline distT="0" distB="0" distL="0" distR="0" wp14:anchorId="0F04A569" wp14:editId="0473FD60">
            <wp:extent cx="5760085" cy="32404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085" cy="3240405"/>
                    </a:xfrm>
                    <a:prstGeom prst="rect">
                      <a:avLst/>
                    </a:prstGeom>
                  </pic:spPr>
                </pic:pic>
              </a:graphicData>
            </a:graphic>
          </wp:inline>
        </w:drawing>
      </w:r>
    </w:p>
    <w:p w14:paraId="3027865C" w14:textId="77777777" w:rsidR="005A6EFC" w:rsidRDefault="00A20C63" w:rsidP="00F27A0A">
      <w:pPr>
        <w:rPr>
          <w:lang w:val="nl-NL"/>
        </w:rPr>
      </w:pPr>
      <w:r w:rsidRPr="00A20C63">
        <w:rPr>
          <w:lang w:val="nl-NL"/>
        </w:rPr>
        <w:t>.</w:t>
      </w:r>
      <w:r w:rsidR="00F27A0A" w:rsidDel="00F27A0A">
        <w:rPr>
          <w:lang w:val="nl-NL"/>
        </w:rPr>
        <w:t xml:space="preserve"> </w:t>
      </w:r>
    </w:p>
    <w:p w14:paraId="775A560E" w14:textId="77777777" w:rsidR="005A6EFC" w:rsidRDefault="005A6EFC" w:rsidP="00A20C63">
      <w:pPr>
        <w:rPr>
          <w:lang w:val="nl-NL"/>
        </w:rPr>
      </w:pPr>
    </w:p>
    <w:p w14:paraId="5FA440BC" w14:textId="77777777" w:rsidR="005A6EFC" w:rsidRDefault="005A6EFC" w:rsidP="00A20C63">
      <w:pPr>
        <w:rPr>
          <w:lang w:val="nl-NL"/>
        </w:rPr>
      </w:pPr>
    </w:p>
    <w:p w14:paraId="3B544AA2" w14:textId="77777777" w:rsidR="005A6EFC" w:rsidRDefault="005A6EFC" w:rsidP="00A20C63">
      <w:pPr>
        <w:rPr>
          <w:lang w:val="nl-NL"/>
        </w:rPr>
      </w:pPr>
    </w:p>
    <w:p w14:paraId="2BBFF6A1" w14:textId="77777777" w:rsidR="00BA4EE5" w:rsidRDefault="00BA4EE5" w:rsidP="00A20C63">
      <w:pPr>
        <w:rPr>
          <w:lang w:val="nl-NL"/>
        </w:rPr>
      </w:pPr>
    </w:p>
    <w:p w14:paraId="7E6546CA" w14:textId="5F0CE048" w:rsidR="00BA4EE5" w:rsidRPr="008B66AE" w:rsidRDefault="00BA4EE5" w:rsidP="00A20C63">
      <w:pPr>
        <w:rPr>
          <w:lang w:val="nl-NL"/>
        </w:rPr>
      </w:pPr>
    </w:p>
    <w:p w14:paraId="0E59BE74" w14:textId="77777777" w:rsidR="00BA4EE5" w:rsidRDefault="00BA4EE5">
      <w:pPr>
        <w:spacing w:after="200" w:line="276" w:lineRule="auto"/>
        <w:rPr>
          <w:lang w:val="nl-NL"/>
        </w:rPr>
      </w:pPr>
      <w:r>
        <w:rPr>
          <w:lang w:val="nl-NL"/>
        </w:rPr>
        <w:br w:type="page"/>
      </w:r>
    </w:p>
    <w:p w14:paraId="23EC206A" w14:textId="77777777" w:rsidR="00B62A4E" w:rsidRPr="00B62A4E" w:rsidRDefault="00B62A4E" w:rsidP="00B62A4E">
      <w:pPr>
        <w:pStyle w:val="Kop2"/>
        <w:rPr>
          <w:rFonts w:hint="eastAsia"/>
          <w:lang w:val="nl-NL"/>
        </w:rPr>
      </w:pPr>
      <w:bookmarkStart w:id="19" w:name="_Toc231804745"/>
      <w:r w:rsidRPr="00B62A4E">
        <w:rPr>
          <w:lang w:val="nl-NL"/>
        </w:rPr>
        <w:lastRenderedPageBreak/>
        <w:t>De fondsorganen</w:t>
      </w:r>
      <w:bookmarkEnd w:id="19"/>
    </w:p>
    <w:p w14:paraId="34A445CB" w14:textId="77777777" w:rsidR="00B62A4E" w:rsidRPr="00B62A4E" w:rsidRDefault="00B62A4E" w:rsidP="00B62A4E">
      <w:pPr>
        <w:pStyle w:val="Kop3"/>
        <w:spacing w:after="240"/>
        <w:rPr>
          <w:rFonts w:hint="eastAsia"/>
          <w:lang w:val="nl-NL"/>
        </w:rPr>
      </w:pPr>
      <w:bookmarkStart w:id="20" w:name="_Toc231804746"/>
      <w:r w:rsidRPr="00B62A4E">
        <w:rPr>
          <w:lang w:val="nl-NL"/>
        </w:rPr>
        <w:t>Bestuur</w:t>
      </w:r>
      <w:bookmarkEnd w:id="20"/>
    </w:p>
    <w:p w14:paraId="3D7F46C6" w14:textId="77777777" w:rsidR="00CC3DFD" w:rsidRPr="006B5FB0" w:rsidRDefault="00CC3DFD" w:rsidP="00CC3DFD">
      <w:pPr>
        <w:autoSpaceDE w:val="0"/>
        <w:autoSpaceDN w:val="0"/>
        <w:adjustRightInd w:val="0"/>
        <w:spacing w:line="240" w:lineRule="auto"/>
        <w:rPr>
          <w:rFonts w:cs="Calibri"/>
          <w:i/>
          <w:iCs/>
          <w:color w:val="000000"/>
          <w:szCs w:val="20"/>
          <w:lang w:val="nl-NL"/>
        </w:rPr>
      </w:pPr>
      <w:r w:rsidRPr="006B5FB0">
        <w:rPr>
          <w:rFonts w:cs="Calibri"/>
          <w:i/>
          <w:iCs/>
          <w:color w:val="000000"/>
          <w:szCs w:val="20"/>
          <w:lang w:val="nl-NL"/>
        </w:rPr>
        <w:t xml:space="preserve">Sleutelfuncties </w:t>
      </w:r>
    </w:p>
    <w:p w14:paraId="56CAEB73" w14:textId="77777777" w:rsidR="00CC3DFD" w:rsidRDefault="00CC3DFD" w:rsidP="00CC3DFD">
      <w:pPr>
        <w:autoSpaceDE w:val="0"/>
        <w:autoSpaceDN w:val="0"/>
        <w:adjustRightInd w:val="0"/>
        <w:spacing w:line="240" w:lineRule="auto"/>
        <w:rPr>
          <w:rFonts w:cs="Arial"/>
          <w:color w:val="000000"/>
          <w:szCs w:val="20"/>
          <w:lang w:val="nl-NL"/>
        </w:rPr>
      </w:pPr>
    </w:p>
    <w:p w14:paraId="41B78C98" w14:textId="77777777" w:rsidR="00CC3DFD" w:rsidRPr="006B5FB0" w:rsidRDefault="00CC3DFD" w:rsidP="00CC3DFD">
      <w:pPr>
        <w:autoSpaceDE w:val="0"/>
        <w:autoSpaceDN w:val="0"/>
        <w:adjustRightInd w:val="0"/>
        <w:spacing w:line="240" w:lineRule="auto"/>
        <w:rPr>
          <w:rFonts w:cs="Arial"/>
          <w:color w:val="000000"/>
          <w:szCs w:val="20"/>
          <w:lang w:val="nl-NL"/>
        </w:rPr>
      </w:pPr>
      <w:r w:rsidRPr="006B5FB0">
        <w:rPr>
          <w:rFonts w:cs="Arial"/>
          <w:color w:val="000000"/>
          <w:szCs w:val="20"/>
          <w:lang w:val="nl-NL"/>
        </w:rPr>
        <w:t xml:space="preserve">De inrichting van de drie sleutelfuncties is als volgt: </w:t>
      </w:r>
    </w:p>
    <w:p w14:paraId="399979B0" w14:textId="77777777" w:rsidR="00CC3DFD" w:rsidRPr="00BF2BFE" w:rsidRDefault="00CC3DFD" w:rsidP="001E699B">
      <w:pPr>
        <w:pStyle w:val="Lijstalinea"/>
        <w:numPr>
          <w:ilvl w:val="0"/>
          <w:numId w:val="48"/>
        </w:numPr>
        <w:autoSpaceDE w:val="0"/>
        <w:autoSpaceDN w:val="0"/>
        <w:adjustRightInd w:val="0"/>
        <w:spacing w:after="50" w:line="240" w:lineRule="auto"/>
        <w:rPr>
          <w:rFonts w:cs="Courier New"/>
          <w:color w:val="000000"/>
          <w:szCs w:val="20"/>
          <w:lang w:val="nl-NL"/>
        </w:rPr>
      </w:pPr>
      <w:r w:rsidRPr="006B5FB0">
        <w:rPr>
          <w:rFonts w:cs="Arial"/>
          <w:color w:val="000000"/>
          <w:szCs w:val="20"/>
          <w:lang w:val="nl-NL"/>
        </w:rPr>
        <w:t xml:space="preserve">sleutelfunctie actuarieel: </w:t>
      </w:r>
    </w:p>
    <w:p w14:paraId="4FDE1FF1" w14:textId="112843DF" w:rsidR="00CC3DFD" w:rsidRPr="006E4E29" w:rsidRDefault="00CC3DFD" w:rsidP="001E699B">
      <w:pPr>
        <w:pStyle w:val="Lijstalinea"/>
        <w:numPr>
          <w:ilvl w:val="1"/>
          <w:numId w:val="48"/>
        </w:numPr>
        <w:autoSpaceDE w:val="0"/>
        <w:autoSpaceDN w:val="0"/>
        <w:adjustRightInd w:val="0"/>
        <w:spacing w:after="50" w:line="240" w:lineRule="auto"/>
        <w:rPr>
          <w:rFonts w:cs="Courier New"/>
          <w:color w:val="000000"/>
          <w:szCs w:val="20"/>
          <w:lang w:val="nl-NL"/>
        </w:rPr>
      </w:pPr>
      <w:r w:rsidRPr="006E4E29">
        <w:rPr>
          <w:rFonts w:cs="Courier New"/>
          <w:color w:val="000000"/>
          <w:szCs w:val="20"/>
          <w:lang w:val="nl-NL"/>
        </w:rPr>
        <w:t>houder</w:t>
      </w:r>
      <w:r w:rsidR="00675D73" w:rsidRPr="006E4E29">
        <w:rPr>
          <w:rFonts w:cs="Courier New"/>
          <w:color w:val="000000"/>
          <w:szCs w:val="20"/>
          <w:lang w:val="nl-NL"/>
        </w:rPr>
        <w:t xml:space="preserve"> &amp; vervuller</w:t>
      </w:r>
      <w:r w:rsidRPr="006E4E29">
        <w:rPr>
          <w:rFonts w:cs="Courier New"/>
          <w:color w:val="000000"/>
          <w:szCs w:val="20"/>
          <w:lang w:val="nl-NL"/>
        </w:rPr>
        <w:t xml:space="preserve">: </w:t>
      </w:r>
      <w:r w:rsidR="00724C59" w:rsidRPr="006E4E29">
        <w:rPr>
          <w:rFonts w:cs="Courier New"/>
          <w:color w:val="000000"/>
          <w:szCs w:val="20"/>
          <w:lang w:val="nl-NL"/>
        </w:rPr>
        <w:t>certificerend actuaris</w:t>
      </w:r>
    </w:p>
    <w:p w14:paraId="12D34BC6" w14:textId="77777777" w:rsidR="00CC3DFD" w:rsidRDefault="00CC3DFD" w:rsidP="001E699B">
      <w:pPr>
        <w:pStyle w:val="Lijstalinea"/>
        <w:numPr>
          <w:ilvl w:val="0"/>
          <w:numId w:val="48"/>
        </w:numPr>
        <w:autoSpaceDE w:val="0"/>
        <w:autoSpaceDN w:val="0"/>
        <w:adjustRightInd w:val="0"/>
        <w:spacing w:line="240" w:lineRule="auto"/>
        <w:rPr>
          <w:rFonts w:cs="Courier New"/>
          <w:color w:val="000000"/>
          <w:szCs w:val="20"/>
          <w:lang w:val="nl-NL"/>
        </w:rPr>
      </w:pPr>
      <w:r w:rsidRPr="006B5FB0">
        <w:rPr>
          <w:rFonts w:cs="Courier New"/>
          <w:color w:val="000000"/>
          <w:szCs w:val="20"/>
          <w:lang w:val="nl-NL"/>
        </w:rPr>
        <w:t xml:space="preserve">sleutelfunctie risicobeheer: </w:t>
      </w:r>
    </w:p>
    <w:p w14:paraId="4F0E9557" w14:textId="35615D74" w:rsidR="00CC3DFD" w:rsidRDefault="00CC3DFD" w:rsidP="001E699B">
      <w:pPr>
        <w:pStyle w:val="Lijstalinea"/>
        <w:numPr>
          <w:ilvl w:val="1"/>
          <w:numId w:val="48"/>
        </w:numPr>
        <w:autoSpaceDE w:val="0"/>
        <w:autoSpaceDN w:val="0"/>
        <w:adjustRightInd w:val="0"/>
        <w:spacing w:line="240" w:lineRule="auto"/>
        <w:rPr>
          <w:rFonts w:cs="Courier New"/>
          <w:color w:val="000000"/>
          <w:szCs w:val="20"/>
          <w:lang w:val="nl-NL"/>
        </w:rPr>
      </w:pPr>
      <w:r w:rsidRPr="006B5FB0">
        <w:rPr>
          <w:rFonts w:cs="Courier New"/>
          <w:color w:val="000000"/>
          <w:szCs w:val="20"/>
          <w:lang w:val="nl-NL"/>
        </w:rPr>
        <w:t xml:space="preserve">houder: </w:t>
      </w:r>
      <w:r w:rsidR="00006D27">
        <w:rPr>
          <w:rFonts w:cs="Courier New"/>
          <w:color w:val="000000"/>
          <w:szCs w:val="20"/>
          <w:lang w:val="nl-NL"/>
        </w:rPr>
        <w:t>externe</w:t>
      </w:r>
    </w:p>
    <w:p w14:paraId="7D83FD19" w14:textId="77777777" w:rsidR="00CC3DFD" w:rsidRPr="00BF2BFE" w:rsidRDefault="00CC3DFD" w:rsidP="001E699B">
      <w:pPr>
        <w:pStyle w:val="Lijstalinea"/>
        <w:numPr>
          <w:ilvl w:val="1"/>
          <w:numId w:val="48"/>
        </w:numPr>
        <w:autoSpaceDE w:val="0"/>
        <w:autoSpaceDN w:val="0"/>
        <w:adjustRightInd w:val="0"/>
        <w:spacing w:line="240" w:lineRule="auto"/>
        <w:rPr>
          <w:rFonts w:cs="Courier New"/>
          <w:color w:val="000000"/>
          <w:szCs w:val="20"/>
          <w:lang w:val="nl-NL"/>
        </w:rPr>
      </w:pPr>
      <w:r w:rsidRPr="006B5FB0">
        <w:rPr>
          <w:rFonts w:cs="Arial"/>
          <w:color w:val="000000"/>
          <w:szCs w:val="20"/>
          <w:lang w:val="nl-NL"/>
        </w:rPr>
        <w:t xml:space="preserve">vervuller: interne riskmanager op het bestuursbureau. </w:t>
      </w:r>
    </w:p>
    <w:p w14:paraId="4B91A7C2" w14:textId="678A764A" w:rsidR="00CC3DFD" w:rsidRDefault="00CC3DFD" w:rsidP="001E699B">
      <w:pPr>
        <w:pStyle w:val="Lijstalinea"/>
        <w:numPr>
          <w:ilvl w:val="0"/>
          <w:numId w:val="48"/>
        </w:numPr>
        <w:autoSpaceDE w:val="0"/>
        <w:autoSpaceDN w:val="0"/>
        <w:adjustRightInd w:val="0"/>
        <w:spacing w:line="240" w:lineRule="auto"/>
        <w:rPr>
          <w:rFonts w:cs="Courier New"/>
          <w:color w:val="000000"/>
          <w:szCs w:val="20"/>
          <w:lang w:val="nl-NL"/>
        </w:rPr>
      </w:pPr>
      <w:r w:rsidRPr="006B5FB0">
        <w:rPr>
          <w:rFonts w:cs="Calibri"/>
          <w:color w:val="000000"/>
          <w:szCs w:val="20"/>
          <w:lang w:val="nl-NL"/>
        </w:rPr>
        <w:t xml:space="preserve">sleutelfunctie interne audit: </w:t>
      </w:r>
      <w:r w:rsidRPr="006B5FB0">
        <w:rPr>
          <w:rFonts w:cs="Courier New"/>
          <w:color w:val="000000"/>
          <w:szCs w:val="20"/>
          <w:lang w:val="nl-NL"/>
        </w:rPr>
        <w:t xml:space="preserve"> </w:t>
      </w:r>
    </w:p>
    <w:p w14:paraId="2DDDAB19" w14:textId="2A977190" w:rsidR="00CC3DFD" w:rsidRPr="00BF2BFE" w:rsidRDefault="00CC3DFD" w:rsidP="001E699B">
      <w:pPr>
        <w:pStyle w:val="Lijstalinea"/>
        <w:numPr>
          <w:ilvl w:val="1"/>
          <w:numId w:val="48"/>
        </w:numPr>
        <w:autoSpaceDE w:val="0"/>
        <w:autoSpaceDN w:val="0"/>
        <w:adjustRightInd w:val="0"/>
        <w:spacing w:line="240" w:lineRule="auto"/>
        <w:rPr>
          <w:rFonts w:cs="Courier New"/>
          <w:color w:val="000000"/>
          <w:szCs w:val="20"/>
          <w:lang w:val="nl-NL"/>
        </w:rPr>
      </w:pPr>
      <w:r w:rsidRPr="006B5FB0">
        <w:rPr>
          <w:rFonts w:cs="Arial"/>
          <w:color w:val="000000"/>
          <w:szCs w:val="20"/>
          <w:lang w:val="nl-NL"/>
        </w:rPr>
        <w:t>houder: geen bestuurslid. De sleutelfunctiehouder interne audit wordt ge</w:t>
      </w:r>
      <w:r w:rsidR="003914BE">
        <w:rPr>
          <w:rFonts w:cs="Arial"/>
          <w:color w:val="000000"/>
          <w:szCs w:val="20"/>
          <w:lang w:val="nl-NL"/>
        </w:rPr>
        <w:t>ï</w:t>
      </w:r>
      <w:r w:rsidRPr="006B5FB0">
        <w:rPr>
          <w:rFonts w:cs="Arial"/>
          <w:color w:val="000000"/>
          <w:szCs w:val="20"/>
          <w:lang w:val="nl-NL"/>
        </w:rPr>
        <w:t xml:space="preserve">nsourced door middel van een dienstverleningsovereenkomst. </w:t>
      </w:r>
    </w:p>
    <w:p w14:paraId="2BF9ADF5" w14:textId="77777777" w:rsidR="00CC3DFD" w:rsidRPr="006B5FB0" w:rsidRDefault="00CC3DFD" w:rsidP="001E699B">
      <w:pPr>
        <w:pStyle w:val="Lijstalinea"/>
        <w:numPr>
          <w:ilvl w:val="1"/>
          <w:numId w:val="48"/>
        </w:numPr>
        <w:autoSpaceDE w:val="0"/>
        <w:autoSpaceDN w:val="0"/>
        <w:adjustRightInd w:val="0"/>
        <w:spacing w:line="240" w:lineRule="auto"/>
        <w:rPr>
          <w:rFonts w:cs="Courier New"/>
          <w:color w:val="000000"/>
          <w:szCs w:val="20"/>
          <w:lang w:val="nl-NL"/>
        </w:rPr>
      </w:pPr>
      <w:r w:rsidRPr="006B5FB0">
        <w:rPr>
          <w:rFonts w:cs="Courier New"/>
          <w:color w:val="000000"/>
          <w:szCs w:val="20"/>
          <w:lang w:val="nl-NL"/>
        </w:rPr>
        <w:t xml:space="preserve">vervuller: PwC. </w:t>
      </w:r>
    </w:p>
    <w:p w14:paraId="24935B9C" w14:textId="77777777" w:rsidR="00CC3DFD" w:rsidRPr="006B5FB0" w:rsidRDefault="00CC3DFD" w:rsidP="00CC3DFD">
      <w:pPr>
        <w:autoSpaceDE w:val="0"/>
        <w:autoSpaceDN w:val="0"/>
        <w:adjustRightInd w:val="0"/>
        <w:spacing w:line="240" w:lineRule="auto"/>
        <w:rPr>
          <w:rFonts w:cs="Courier New"/>
          <w:color w:val="000000"/>
          <w:szCs w:val="20"/>
          <w:lang w:val="nl-NL"/>
        </w:rPr>
      </w:pPr>
    </w:p>
    <w:p w14:paraId="442E2DB6" w14:textId="58D0ED67" w:rsidR="00CC3DFD" w:rsidRDefault="00CC3DFD" w:rsidP="00CC3DFD">
      <w:pPr>
        <w:autoSpaceDE w:val="0"/>
        <w:autoSpaceDN w:val="0"/>
        <w:adjustRightInd w:val="0"/>
        <w:spacing w:line="240" w:lineRule="auto"/>
        <w:rPr>
          <w:rFonts w:cs="Arial"/>
          <w:color w:val="000000"/>
          <w:szCs w:val="20"/>
          <w:lang w:val="nl-NL"/>
        </w:rPr>
      </w:pPr>
      <w:r w:rsidRPr="006B5FB0">
        <w:rPr>
          <w:rFonts w:cs="Arial"/>
          <w:color w:val="000000"/>
          <w:szCs w:val="20"/>
          <w:lang w:val="nl-NL"/>
        </w:rPr>
        <w:t xml:space="preserve">De taken en bevoegdheden van de sleutelfunctionarissen zijn </w:t>
      </w:r>
      <w:r w:rsidR="002A1682" w:rsidRPr="007E76BD">
        <w:rPr>
          <w:rFonts w:cs="Arial"/>
          <w:color w:val="000000"/>
          <w:szCs w:val="20"/>
          <w:lang w:val="nl-NL"/>
        </w:rPr>
        <w:t>b</w:t>
      </w:r>
      <w:r w:rsidR="002A1682" w:rsidRPr="002528DC">
        <w:rPr>
          <w:rFonts w:cs="Arial"/>
          <w:color w:val="000000"/>
          <w:szCs w:val="20"/>
          <w:lang w:val="nl-NL"/>
        </w:rPr>
        <w:t>eschreven</w:t>
      </w:r>
      <w:r w:rsidRPr="007E76BD">
        <w:rPr>
          <w:rFonts w:cs="Arial"/>
          <w:color w:val="000000"/>
          <w:szCs w:val="20"/>
          <w:lang w:val="nl-NL"/>
        </w:rPr>
        <w:t xml:space="preserve"> in een d</w:t>
      </w:r>
      <w:r w:rsidRPr="006B5FB0">
        <w:rPr>
          <w:rFonts w:cs="Arial"/>
          <w:color w:val="000000"/>
          <w:szCs w:val="20"/>
          <w:lang w:val="nl-NL"/>
        </w:rPr>
        <w:t xml:space="preserve">oor het bestuur vastgesteld functieprofiel. De sleutelfunctiehouders zijn verantwoordelijk voor hun aandachtsgebied en de rapportage van bevindingen aan het bestuur en aan de raad van toezicht. </w:t>
      </w:r>
    </w:p>
    <w:p w14:paraId="3A9C883E" w14:textId="77777777" w:rsidR="00CC3DFD" w:rsidRDefault="00CC3DFD" w:rsidP="00CC3DFD">
      <w:pPr>
        <w:autoSpaceDE w:val="0"/>
        <w:autoSpaceDN w:val="0"/>
        <w:adjustRightInd w:val="0"/>
        <w:spacing w:line="240" w:lineRule="auto"/>
        <w:rPr>
          <w:rFonts w:cs="Arial"/>
          <w:color w:val="000000"/>
          <w:szCs w:val="20"/>
          <w:lang w:val="nl-NL"/>
        </w:rPr>
      </w:pPr>
    </w:p>
    <w:p w14:paraId="2223864C" w14:textId="1943895A" w:rsidR="00CC3DFD" w:rsidRPr="009D3642" w:rsidRDefault="00CC3DFD" w:rsidP="006B5FB0">
      <w:pPr>
        <w:autoSpaceDE w:val="0"/>
        <w:autoSpaceDN w:val="0"/>
        <w:adjustRightInd w:val="0"/>
        <w:spacing w:line="240" w:lineRule="auto"/>
        <w:rPr>
          <w:rFonts w:cs="Calibri"/>
          <w:color w:val="000000"/>
          <w:szCs w:val="20"/>
          <w:lang w:val="nl-NL"/>
        </w:rPr>
      </w:pPr>
      <w:r w:rsidRPr="006B5FB0">
        <w:rPr>
          <w:rFonts w:cs="Arial"/>
          <w:color w:val="000000"/>
          <w:szCs w:val="20"/>
          <w:lang w:val="nl-NL"/>
        </w:rPr>
        <w:t xml:space="preserve">Als het bestuur niet adequaat reageert kan de sleutelfunctiehouder escaleren naar de raad van toezicht, met de voorzitter van de raad van toezicht als eerste contactpersoon. Daarnaast hebben de sleutelfunctiehouders periodiek overleg met de raad van toezicht. Mocht ook na escalatie naar de raad van toezicht het bestuur naar de mening van de sleutelfunctiehouder niet adequaat reageren dan </w:t>
      </w:r>
      <w:r w:rsidR="00B12423">
        <w:rPr>
          <w:rFonts w:cs="Arial"/>
          <w:color w:val="000000"/>
          <w:szCs w:val="20"/>
          <w:lang w:val="nl-NL"/>
        </w:rPr>
        <w:t>kan</w:t>
      </w:r>
      <w:r w:rsidRPr="006B5FB0">
        <w:rPr>
          <w:rFonts w:cs="Arial"/>
          <w:color w:val="000000"/>
          <w:szCs w:val="20"/>
          <w:lang w:val="nl-NL"/>
        </w:rPr>
        <w:t xml:space="preserve"> door de sleutelfunctiehouder </w:t>
      </w:r>
      <w:r w:rsidR="00B12423">
        <w:rPr>
          <w:rFonts w:cs="Arial"/>
          <w:color w:val="000000"/>
          <w:szCs w:val="20"/>
          <w:lang w:val="nl-NL"/>
        </w:rPr>
        <w:t xml:space="preserve">worden </w:t>
      </w:r>
      <w:r w:rsidRPr="006B5FB0">
        <w:rPr>
          <w:rFonts w:cs="Arial"/>
          <w:color w:val="000000"/>
          <w:szCs w:val="20"/>
          <w:lang w:val="nl-NL"/>
        </w:rPr>
        <w:t xml:space="preserve">geëscaleerd naar DNB. De sleutelfunctiehouders leveren in ieder geval jaarlijks een overall rapportage op; daarnaast levert de sleutelfunctiehouder interne </w:t>
      </w:r>
      <w:r w:rsidRPr="009D3642">
        <w:rPr>
          <w:rFonts w:cs="Arial"/>
          <w:color w:val="000000"/>
          <w:szCs w:val="20"/>
          <w:lang w:val="nl-NL"/>
        </w:rPr>
        <w:t xml:space="preserve">audit na iedere audit een rapportage. Deze rapportages worden gedeeld met het bestuur en met de raad van toezicht. </w:t>
      </w:r>
    </w:p>
    <w:p w14:paraId="47E3C7EF" w14:textId="77777777" w:rsidR="00CC3DFD" w:rsidRDefault="00CC3DFD" w:rsidP="00CC3DFD">
      <w:pPr>
        <w:rPr>
          <w:rFonts w:cs="Arial"/>
          <w:color w:val="000000"/>
          <w:szCs w:val="20"/>
          <w:lang w:val="nl-NL"/>
        </w:rPr>
      </w:pPr>
    </w:p>
    <w:p w14:paraId="0879E9C1" w14:textId="77777777" w:rsidR="00CC3DFD" w:rsidRPr="00BF2BFE" w:rsidRDefault="00CC3DFD" w:rsidP="00CC3DFD">
      <w:pPr>
        <w:rPr>
          <w:szCs w:val="20"/>
          <w:lang w:val="nl-NL"/>
        </w:rPr>
      </w:pPr>
      <w:r w:rsidRPr="006B5FB0">
        <w:rPr>
          <w:rFonts w:cs="Arial"/>
          <w:color w:val="000000"/>
          <w:szCs w:val="20"/>
          <w:lang w:val="nl-NL"/>
        </w:rPr>
        <w:t>De vervullers van sleutelfuncties rapporteren aan de sleutelfunctiehouder en hebben periodiek formeel overleg met deze sleutelfunctiehouder.</w:t>
      </w:r>
    </w:p>
    <w:p w14:paraId="480940FE" w14:textId="77777777" w:rsidR="00CC3DFD" w:rsidRPr="00374B87" w:rsidRDefault="00CC3DFD" w:rsidP="00CC3DFD">
      <w:pPr>
        <w:rPr>
          <w:lang w:val="nl-NL"/>
        </w:rPr>
      </w:pPr>
    </w:p>
    <w:p w14:paraId="2B47C8A0" w14:textId="77777777" w:rsidR="00B62A4E" w:rsidRPr="00B62A4E" w:rsidRDefault="00B62A4E" w:rsidP="00B62A4E">
      <w:pPr>
        <w:rPr>
          <w:lang w:val="nl-NL"/>
        </w:rPr>
      </w:pPr>
    </w:p>
    <w:p w14:paraId="7BE875E4" w14:textId="77777777" w:rsidR="00B62A4E" w:rsidRPr="00B62A4E" w:rsidRDefault="00B62A4E" w:rsidP="00B62A4E">
      <w:pPr>
        <w:rPr>
          <w:i/>
          <w:lang w:val="nl-NL"/>
        </w:rPr>
      </w:pPr>
      <w:r w:rsidRPr="00B62A4E">
        <w:rPr>
          <w:i/>
          <w:lang w:val="nl-NL"/>
        </w:rPr>
        <w:t>Samenstelling</w:t>
      </w:r>
    </w:p>
    <w:p w14:paraId="1FFFAEE1" w14:textId="77777777" w:rsidR="00B62A4E" w:rsidRPr="00B62A4E" w:rsidRDefault="00B62A4E" w:rsidP="00B62A4E">
      <w:pPr>
        <w:rPr>
          <w:lang w:val="nl-NL"/>
        </w:rPr>
      </w:pPr>
      <w:r w:rsidRPr="00B62A4E">
        <w:rPr>
          <w:lang w:val="nl-NL"/>
        </w:rPr>
        <w:t>Het</w:t>
      </w:r>
      <w:r w:rsidR="007F7155">
        <w:rPr>
          <w:lang w:val="nl-NL"/>
        </w:rPr>
        <w:t xml:space="preserve"> </w:t>
      </w:r>
      <w:r w:rsidRPr="00B62A4E">
        <w:rPr>
          <w:lang w:val="nl-NL"/>
        </w:rPr>
        <w:t xml:space="preserve">bestuur bestaat uit </w:t>
      </w:r>
      <w:r w:rsidR="00C26A0B">
        <w:rPr>
          <w:lang w:val="nl-NL"/>
        </w:rPr>
        <w:t>8</w:t>
      </w:r>
      <w:r w:rsidRPr="00B62A4E">
        <w:rPr>
          <w:lang w:val="nl-NL"/>
        </w:rPr>
        <w:t xml:space="preserve"> bestuursleden:</w:t>
      </w:r>
    </w:p>
    <w:p w14:paraId="2EE4BBBD" w14:textId="62305F42" w:rsidR="00B62A4E" w:rsidRPr="004354C4" w:rsidRDefault="00CE17ED" w:rsidP="001E699B">
      <w:pPr>
        <w:pStyle w:val="Lijstalinea"/>
        <w:numPr>
          <w:ilvl w:val="0"/>
          <w:numId w:val="8"/>
        </w:numPr>
        <w:rPr>
          <w:lang w:val="nl-NL"/>
        </w:rPr>
      </w:pPr>
      <w:r w:rsidRPr="004354C4">
        <w:rPr>
          <w:lang w:val="nl-NL"/>
        </w:rPr>
        <w:t>Vier</w:t>
      </w:r>
      <w:r w:rsidR="00B62A4E" w:rsidRPr="004354C4">
        <w:rPr>
          <w:lang w:val="nl-NL"/>
        </w:rPr>
        <w:t xml:space="preserve"> bestuursleden zijn voorgedragen door de werkgever ING</w:t>
      </w:r>
      <w:r w:rsidR="0023776C" w:rsidRPr="004354C4">
        <w:rPr>
          <w:lang w:val="nl-NL"/>
        </w:rPr>
        <w:t>.</w:t>
      </w:r>
    </w:p>
    <w:p w14:paraId="4AC4295A" w14:textId="77777777" w:rsidR="00B62A4E" w:rsidRPr="004354C4" w:rsidRDefault="0023776C" w:rsidP="001E699B">
      <w:pPr>
        <w:pStyle w:val="Lijstalinea"/>
        <w:numPr>
          <w:ilvl w:val="0"/>
          <w:numId w:val="8"/>
        </w:numPr>
        <w:rPr>
          <w:lang w:val="nl-NL"/>
        </w:rPr>
      </w:pPr>
      <w:r w:rsidRPr="004354C4">
        <w:rPr>
          <w:lang w:val="nl-NL"/>
        </w:rPr>
        <w:t>E</w:t>
      </w:r>
      <w:r w:rsidR="00B62A4E" w:rsidRPr="004354C4">
        <w:rPr>
          <w:rFonts w:hint="cs"/>
          <w:lang w:val="nl-NL"/>
        </w:rPr>
        <w:t>é</w:t>
      </w:r>
      <w:r w:rsidR="00B62A4E" w:rsidRPr="004354C4">
        <w:rPr>
          <w:lang w:val="nl-NL"/>
        </w:rPr>
        <w:t>n bestuurslid is voorgedragen door de FNV</w:t>
      </w:r>
      <w:r w:rsidRPr="004354C4">
        <w:rPr>
          <w:lang w:val="nl-NL"/>
        </w:rPr>
        <w:t>.</w:t>
      </w:r>
      <w:r w:rsidR="00B62A4E" w:rsidRPr="004354C4">
        <w:rPr>
          <w:lang w:val="nl-NL"/>
        </w:rPr>
        <w:t xml:space="preserve"> </w:t>
      </w:r>
    </w:p>
    <w:p w14:paraId="62734174" w14:textId="77777777" w:rsidR="00B62A4E" w:rsidRPr="004354C4" w:rsidRDefault="0023776C" w:rsidP="001E699B">
      <w:pPr>
        <w:pStyle w:val="Lijstalinea"/>
        <w:numPr>
          <w:ilvl w:val="0"/>
          <w:numId w:val="8"/>
        </w:numPr>
        <w:rPr>
          <w:lang w:val="nl-NL"/>
        </w:rPr>
      </w:pPr>
      <w:r w:rsidRPr="004354C4">
        <w:rPr>
          <w:lang w:val="nl-NL"/>
        </w:rPr>
        <w:t>E</w:t>
      </w:r>
      <w:r w:rsidR="00B62A4E" w:rsidRPr="004354C4">
        <w:rPr>
          <w:rFonts w:hint="cs"/>
          <w:lang w:val="nl-NL"/>
        </w:rPr>
        <w:t>é</w:t>
      </w:r>
      <w:r w:rsidR="00B62A4E" w:rsidRPr="004354C4">
        <w:rPr>
          <w:lang w:val="nl-NL"/>
        </w:rPr>
        <w:t>n bestuurslid is voorgedragen door de Unie</w:t>
      </w:r>
      <w:r w:rsidRPr="004354C4">
        <w:rPr>
          <w:lang w:val="nl-NL"/>
        </w:rPr>
        <w:t>.</w:t>
      </w:r>
    </w:p>
    <w:p w14:paraId="7AA2DE39" w14:textId="79CF2AD6" w:rsidR="00B62A4E" w:rsidRPr="004354C4" w:rsidRDefault="00D52650" w:rsidP="001E699B">
      <w:pPr>
        <w:pStyle w:val="Lijstalinea"/>
        <w:numPr>
          <w:ilvl w:val="0"/>
          <w:numId w:val="8"/>
        </w:numPr>
        <w:rPr>
          <w:lang w:val="nl-NL"/>
        </w:rPr>
      </w:pPr>
      <w:r w:rsidRPr="004354C4">
        <w:rPr>
          <w:lang w:val="nl-NL"/>
        </w:rPr>
        <w:t>Twee</w:t>
      </w:r>
      <w:r w:rsidR="00B62A4E" w:rsidRPr="004354C4">
        <w:rPr>
          <w:lang w:val="nl-NL"/>
        </w:rPr>
        <w:t xml:space="preserve"> bestuursl</w:t>
      </w:r>
      <w:r w:rsidRPr="004354C4">
        <w:rPr>
          <w:lang w:val="nl-NL"/>
        </w:rPr>
        <w:t>e</w:t>
      </w:r>
      <w:r w:rsidR="00B62A4E" w:rsidRPr="004354C4">
        <w:rPr>
          <w:lang w:val="nl-NL"/>
        </w:rPr>
        <w:t>d</w:t>
      </w:r>
      <w:r w:rsidRPr="004354C4">
        <w:rPr>
          <w:lang w:val="nl-NL"/>
        </w:rPr>
        <w:t>en</w:t>
      </w:r>
      <w:r w:rsidR="00B62A4E" w:rsidRPr="004354C4">
        <w:rPr>
          <w:lang w:val="nl-NL"/>
        </w:rPr>
        <w:t xml:space="preserve"> </w:t>
      </w:r>
      <w:r w:rsidRPr="004354C4">
        <w:rPr>
          <w:lang w:val="nl-NL"/>
        </w:rPr>
        <w:t>zijn</w:t>
      </w:r>
      <w:r w:rsidR="00B62A4E" w:rsidRPr="004354C4">
        <w:rPr>
          <w:lang w:val="nl-NL"/>
        </w:rPr>
        <w:t xml:space="preserve"> voorgedragen door </w:t>
      </w:r>
      <w:r w:rsidR="00C26A0B" w:rsidRPr="004354C4">
        <w:rPr>
          <w:lang w:val="nl-NL"/>
        </w:rPr>
        <w:t xml:space="preserve">de </w:t>
      </w:r>
      <w:r w:rsidR="004933D5" w:rsidRPr="004354C4">
        <w:rPr>
          <w:lang w:val="nl-NL"/>
        </w:rPr>
        <w:t>Centrale</w:t>
      </w:r>
      <w:r w:rsidR="00B62A4E" w:rsidRPr="004354C4">
        <w:rPr>
          <w:lang w:val="nl-NL"/>
        </w:rPr>
        <w:t xml:space="preserve"> Ondernemingsraad van ING</w:t>
      </w:r>
      <w:r w:rsidR="0023776C" w:rsidRPr="004354C4">
        <w:rPr>
          <w:lang w:val="nl-NL"/>
        </w:rPr>
        <w:t>.</w:t>
      </w:r>
    </w:p>
    <w:p w14:paraId="3F13E8AC" w14:textId="77777777" w:rsidR="004E1459" w:rsidRPr="00FA3B4E" w:rsidRDefault="004E1459" w:rsidP="00177A54">
      <w:pPr>
        <w:rPr>
          <w:lang w:val="nl-NL"/>
        </w:rPr>
      </w:pPr>
    </w:p>
    <w:p w14:paraId="769E7EB1" w14:textId="50C2936B" w:rsidR="00B62A4E" w:rsidRPr="00B62A4E" w:rsidRDefault="00B62A4E" w:rsidP="00B62A4E">
      <w:pPr>
        <w:rPr>
          <w:lang w:val="nl-NL"/>
        </w:rPr>
      </w:pPr>
      <w:r w:rsidRPr="00B62A4E">
        <w:rPr>
          <w:lang w:val="nl-NL"/>
        </w:rPr>
        <w:t xml:space="preserve">Het bestuur benoemt </w:t>
      </w:r>
      <w:r w:rsidR="00C26A0B">
        <w:rPr>
          <w:lang w:val="nl-NL"/>
        </w:rPr>
        <w:t xml:space="preserve">een bestuurslid </w:t>
      </w:r>
      <w:r w:rsidRPr="00B62A4E">
        <w:rPr>
          <w:lang w:val="nl-NL"/>
        </w:rPr>
        <w:t xml:space="preserve">en </w:t>
      </w:r>
      <w:r w:rsidR="001B3687">
        <w:rPr>
          <w:lang w:val="nl-NL"/>
        </w:rPr>
        <w:t>toetst een</w:t>
      </w:r>
      <w:r w:rsidRPr="00B62A4E">
        <w:rPr>
          <w:lang w:val="nl-NL"/>
        </w:rPr>
        <w:t xml:space="preserve"> voorgedragen kandidaat </w:t>
      </w:r>
      <w:r w:rsidR="001B3687">
        <w:rPr>
          <w:lang w:val="nl-NL"/>
        </w:rPr>
        <w:t>aan de opgestelde profielschets</w:t>
      </w:r>
      <w:r w:rsidRPr="00B62A4E">
        <w:rPr>
          <w:lang w:val="nl-NL"/>
        </w:rPr>
        <w:t xml:space="preserve">. </w:t>
      </w:r>
      <w:r w:rsidR="00C26A0B">
        <w:rPr>
          <w:lang w:val="nl-NL"/>
        </w:rPr>
        <w:t>Tevens wijst het bestuur een benoeming af indien de raad van toezicht van oordeel is dat de kandidaat niet voldoet aan de</w:t>
      </w:r>
      <w:r w:rsidR="001B3687">
        <w:rPr>
          <w:lang w:val="nl-NL"/>
        </w:rPr>
        <w:t xml:space="preserve"> opgestelde</w:t>
      </w:r>
      <w:r w:rsidR="00C26A0B">
        <w:rPr>
          <w:lang w:val="nl-NL"/>
        </w:rPr>
        <w:t xml:space="preserve"> profielschets.</w:t>
      </w:r>
      <w:r w:rsidR="00C26A0B" w:rsidRPr="00B62A4E">
        <w:rPr>
          <w:lang w:val="nl-NL"/>
        </w:rPr>
        <w:t xml:space="preserve"> In</w:t>
      </w:r>
      <w:r w:rsidR="00C26A0B">
        <w:rPr>
          <w:lang w:val="nl-NL"/>
        </w:rPr>
        <w:t>dien het bestuur een voorgedragen kandidaat afwijst,</w:t>
      </w:r>
      <w:r w:rsidR="00C26A0B" w:rsidRPr="00B62A4E">
        <w:rPr>
          <w:lang w:val="nl-NL"/>
        </w:rPr>
        <w:t xml:space="preserve"> </w:t>
      </w:r>
      <w:r w:rsidRPr="00B62A4E">
        <w:rPr>
          <w:lang w:val="nl-NL"/>
        </w:rPr>
        <w:t xml:space="preserve">stelt het bestuur de voordragende partij daarvan zo spoedig mogelijk - en met voldoende redenen omkleed - in kennis. Het bestuur zal de voordragende partij verzoeken om op een zo kort mogelijke termijn een andere kandidaat voor te dragen. Voordat </w:t>
      </w:r>
      <w:r w:rsidR="004933D5">
        <w:rPr>
          <w:lang w:val="nl-NL"/>
        </w:rPr>
        <w:t xml:space="preserve">een benoeming geformaliseerd kan worden, </w:t>
      </w:r>
      <w:r w:rsidRPr="00B62A4E">
        <w:rPr>
          <w:lang w:val="nl-NL"/>
        </w:rPr>
        <w:t xml:space="preserve">vindt toetsing plaats bij DNB. Bestuursleden kunnen </w:t>
      </w:r>
      <w:r w:rsidR="00C26A0B">
        <w:rPr>
          <w:lang w:val="nl-NL"/>
        </w:rPr>
        <w:t>twee</w:t>
      </w:r>
      <w:r w:rsidRPr="00B62A4E">
        <w:rPr>
          <w:lang w:val="nl-NL"/>
        </w:rPr>
        <w:t xml:space="preserve">maal worden herbenoemd en kunnen </w:t>
      </w:r>
      <w:r w:rsidR="00C26A0B">
        <w:rPr>
          <w:lang w:val="nl-NL"/>
        </w:rPr>
        <w:t xml:space="preserve">gedurende vijf jaar </w:t>
      </w:r>
      <w:r w:rsidRPr="00B62A4E">
        <w:rPr>
          <w:lang w:val="nl-NL"/>
        </w:rPr>
        <w:t>na aftreden geen zitting nemen in andere organen van het fonds.</w:t>
      </w:r>
    </w:p>
    <w:p w14:paraId="396F5472" w14:textId="77777777" w:rsidR="00B62A4E" w:rsidRPr="00B62A4E" w:rsidRDefault="00B62A4E" w:rsidP="00B62A4E">
      <w:pPr>
        <w:rPr>
          <w:lang w:val="nl-NL"/>
        </w:rPr>
      </w:pPr>
    </w:p>
    <w:p w14:paraId="7F0774E6" w14:textId="5DEFE6F6" w:rsidR="00363810" w:rsidRDefault="00B62A4E" w:rsidP="00B62A4E">
      <w:pPr>
        <w:rPr>
          <w:lang w:val="nl-NL"/>
        </w:rPr>
      </w:pPr>
      <w:r w:rsidRPr="00B62A4E">
        <w:rPr>
          <w:lang w:val="nl-NL"/>
        </w:rPr>
        <w:t>Het bestuur heeft uit zijn midden een voorzitter</w:t>
      </w:r>
      <w:r w:rsidR="00934DA5">
        <w:rPr>
          <w:lang w:val="nl-NL"/>
        </w:rPr>
        <w:t xml:space="preserve"> en </w:t>
      </w:r>
      <w:r w:rsidR="00792C76">
        <w:rPr>
          <w:lang w:val="nl-NL"/>
        </w:rPr>
        <w:t xml:space="preserve">een </w:t>
      </w:r>
      <w:r w:rsidRPr="00B62A4E">
        <w:rPr>
          <w:lang w:val="nl-NL"/>
        </w:rPr>
        <w:t>vice-voorzitter</w:t>
      </w:r>
      <w:r w:rsidR="00934DA5">
        <w:rPr>
          <w:lang w:val="nl-NL"/>
        </w:rPr>
        <w:t xml:space="preserve"> </w:t>
      </w:r>
      <w:r w:rsidRPr="00B62A4E">
        <w:rPr>
          <w:lang w:val="nl-NL"/>
        </w:rPr>
        <w:t xml:space="preserve">benoemd. Tevens heeft het bestuur </w:t>
      </w:r>
      <w:r w:rsidR="00B24ADC">
        <w:rPr>
          <w:lang w:val="nl-NL"/>
        </w:rPr>
        <w:t xml:space="preserve">commissies benoemd. </w:t>
      </w:r>
      <w:r w:rsidRPr="00B62A4E">
        <w:rPr>
          <w:lang w:val="nl-NL"/>
        </w:rPr>
        <w:t xml:space="preserve">Hieronder zijn de </w:t>
      </w:r>
      <w:r w:rsidR="00B24ADC">
        <w:rPr>
          <w:lang w:val="nl-NL"/>
        </w:rPr>
        <w:t>commissies</w:t>
      </w:r>
      <w:r w:rsidR="00F54545">
        <w:rPr>
          <w:lang w:val="nl-NL"/>
        </w:rPr>
        <w:t xml:space="preserve"> </w:t>
      </w:r>
      <w:r w:rsidRPr="00B62A4E">
        <w:rPr>
          <w:lang w:val="nl-NL"/>
        </w:rPr>
        <w:t>aangegeven.</w:t>
      </w:r>
    </w:p>
    <w:p w14:paraId="5C1C9370" w14:textId="77777777" w:rsidR="00B62A4E" w:rsidRDefault="00B62A4E" w:rsidP="00B62A4E">
      <w:pPr>
        <w:rPr>
          <w:lang w:val="nl-NL"/>
        </w:rPr>
      </w:pPr>
    </w:p>
    <w:tbl>
      <w:tblPr>
        <w:tblStyle w:val="Tabelraster"/>
        <w:tblW w:w="0" w:type="auto"/>
        <w:tblBorders>
          <w:top w:val="single" w:sz="4" w:space="0" w:color="00AFD2" w:themeColor="accent1"/>
          <w:left w:val="single" w:sz="4" w:space="0" w:color="00AFD2" w:themeColor="accent1"/>
          <w:bottom w:val="single" w:sz="4" w:space="0" w:color="00AFD2" w:themeColor="accent1"/>
          <w:right w:val="single" w:sz="4" w:space="0" w:color="00AFD2" w:themeColor="accent1"/>
          <w:insideH w:val="single" w:sz="4" w:space="0" w:color="00AFD2" w:themeColor="accent1"/>
          <w:insideV w:val="single" w:sz="4" w:space="0" w:color="00AFD2" w:themeColor="accent1"/>
        </w:tblBorders>
        <w:tblLook w:val="04A0" w:firstRow="1" w:lastRow="0" w:firstColumn="1" w:lastColumn="0" w:noHBand="0" w:noVBand="1"/>
      </w:tblPr>
      <w:tblGrid>
        <w:gridCol w:w="4512"/>
        <w:gridCol w:w="4549"/>
      </w:tblGrid>
      <w:tr w:rsidR="00B62A4E" w:rsidRPr="00B62A4E" w14:paraId="073B0FE3" w14:textId="77777777" w:rsidTr="00B6584D">
        <w:tc>
          <w:tcPr>
            <w:tcW w:w="4512" w:type="dxa"/>
            <w:shd w:val="clear" w:color="auto" w:fill="00AFD2" w:themeFill="accent1"/>
          </w:tcPr>
          <w:p w14:paraId="4F512181" w14:textId="77777777" w:rsidR="00B62A4E" w:rsidRPr="00B62A4E" w:rsidRDefault="00B62A4E" w:rsidP="0081080A">
            <w:pPr>
              <w:spacing w:before="20" w:after="20"/>
              <w:rPr>
                <w:b/>
                <w:color w:val="FFFFFF" w:themeColor="background1"/>
                <w:lang w:val="nl-NL"/>
              </w:rPr>
            </w:pPr>
            <w:r w:rsidRPr="00B62A4E">
              <w:rPr>
                <w:b/>
                <w:color w:val="FFFFFF" w:themeColor="background1"/>
                <w:lang w:val="nl-NL"/>
              </w:rPr>
              <w:t>Cluster</w:t>
            </w:r>
          </w:p>
        </w:tc>
        <w:tc>
          <w:tcPr>
            <w:tcW w:w="4549" w:type="dxa"/>
            <w:shd w:val="clear" w:color="auto" w:fill="00AFD2" w:themeFill="accent1"/>
          </w:tcPr>
          <w:p w14:paraId="767F2854" w14:textId="77777777" w:rsidR="00B62A4E" w:rsidRPr="00B62A4E" w:rsidRDefault="00B62A4E" w:rsidP="0081080A">
            <w:pPr>
              <w:spacing w:before="20" w:after="20"/>
              <w:rPr>
                <w:b/>
                <w:color w:val="FFFFFF" w:themeColor="background1"/>
                <w:lang w:val="nl-NL"/>
              </w:rPr>
            </w:pPr>
            <w:r w:rsidRPr="00B62A4E">
              <w:rPr>
                <w:b/>
                <w:color w:val="FFFFFF" w:themeColor="background1"/>
                <w:lang w:val="nl-NL"/>
              </w:rPr>
              <w:t>Deskundigheidsgebied</w:t>
            </w:r>
          </w:p>
        </w:tc>
      </w:tr>
      <w:tr w:rsidR="00B62A4E" w:rsidRPr="00B62A4E" w14:paraId="7D3CF6EF" w14:textId="77777777" w:rsidTr="00B6584D">
        <w:tc>
          <w:tcPr>
            <w:tcW w:w="4512" w:type="dxa"/>
          </w:tcPr>
          <w:p w14:paraId="7FDD2432" w14:textId="77777777" w:rsidR="00B62A4E" w:rsidRPr="00B62A4E" w:rsidRDefault="00B62A4E" w:rsidP="0081080A">
            <w:pPr>
              <w:spacing w:before="20" w:after="20"/>
              <w:rPr>
                <w:b/>
                <w:lang w:val="nl-NL"/>
              </w:rPr>
            </w:pPr>
            <w:r w:rsidRPr="00B62A4E">
              <w:rPr>
                <w:b/>
                <w:lang w:val="nl-NL"/>
              </w:rPr>
              <w:t>Balansbeheer</w:t>
            </w:r>
          </w:p>
        </w:tc>
        <w:tc>
          <w:tcPr>
            <w:tcW w:w="4549" w:type="dxa"/>
          </w:tcPr>
          <w:p w14:paraId="61C27CDC" w14:textId="7FE1FE33" w:rsidR="00B62A4E" w:rsidRPr="00B62A4E" w:rsidRDefault="00B62A4E" w:rsidP="0081080A">
            <w:pPr>
              <w:spacing w:before="20" w:after="20"/>
              <w:rPr>
                <w:lang w:val="nl-NL"/>
              </w:rPr>
            </w:pPr>
            <w:r w:rsidRPr="00B62A4E">
              <w:rPr>
                <w:lang w:val="nl-NL"/>
              </w:rPr>
              <w:t>Beleggingen</w:t>
            </w:r>
            <w:r w:rsidR="001752D8">
              <w:rPr>
                <w:lang w:val="nl-NL"/>
              </w:rPr>
              <w:t xml:space="preserve"> en renteafdekking</w:t>
            </w:r>
          </w:p>
        </w:tc>
      </w:tr>
      <w:tr w:rsidR="00B62A4E" w:rsidRPr="000A7159" w14:paraId="1585EC48" w14:textId="77777777" w:rsidTr="00B6584D">
        <w:tc>
          <w:tcPr>
            <w:tcW w:w="4512" w:type="dxa"/>
          </w:tcPr>
          <w:p w14:paraId="26DA280F" w14:textId="77777777" w:rsidR="00B62A4E" w:rsidRPr="00B62A4E" w:rsidRDefault="00AC6F85" w:rsidP="0081080A">
            <w:pPr>
              <w:spacing w:before="20" w:after="20"/>
              <w:rPr>
                <w:b/>
                <w:lang w:val="nl-NL"/>
              </w:rPr>
            </w:pPr>
            <w:r>
              <w:rPr>
                <w:b/>
                <w:lang w:val="nl-NL"/>
              </w:rPr>
              <w:t>Finance</w:t>
            </w:r>
            <w:r w:rsidR="00232FF7">
              <w:rPr>
                <w:b/>
                <w:lang w:val="nl-NL"/>
              </w:rPr>
              <w:t xml:space="preserve"> </w:t>
            </w:r>
            <w:r>
              <w:rPr>
                <w:b/>
                <w:lang w:val="nl-NL"/>
              </w:rPr>
              <w:t>&amp;</w:t>
            </w:r>
            <w:r w:rsidR="00232FF7">
              <w:rPr>
                <w:b/>
                <w:lang w:val="nl-NL"/>
              </w:rPr>
              <w:t xml:space="preserve"> </w:t>
            </w:r>
            <w:r>
              <w:rPr>
                <w:b/>
                <w:lang w:val="nl-NL"/>
              </w:rPr>
              <w:t>risk</w:t>
            </w:r>
          </w:p>
        </w:tc>
        <w:tc>
          <w:tcPr>
            <w:tcW w:w="4549" w:type="dxa"/>
          </w:tcPr>
          <w:p w14:paraId="1A3F9D65" w14:textId="77777777" w:rsidR="00B62A4E" w:rsidRPr="00B62A4E" w:rsidRDefault="00B62A4E" w:rsidP="0081080A">
            <w:pPr>
              <w:spacing w:before="20" w:after="20"/>
              <w:rPr>
                <w:lang w:val="nl-NL"/>
              </w:rPr>
            </w:pPr>
            <w:r w:rsidRPr="00B62A4E">
              <w:rPr>
                <w:lang w:val="nl-NL"/>
              </w:rPr>
              <w:t xml:space="preserve">Administratieve organisatie en interne controle, </w:t>
            </w:r>
            <w:r w:rsidR="00AC6F85">
              <w:rPr>
                <w:lang w:val="nl-NL"/>
              </w:rPr>
              <w:t>u</w:t>
            </w:r>
            <w:r w:rsidRPr="00B62A4E">
              <w:rPr>
                <w:lang w:val="nl-NL"/>
              </w:rPr>
              <w:t>itbesteding</w:t>
            </w:r>
            <w:r w:rsidR="00AC6F85">
              <w:rPr>
                <w:lang w:val="nl-NL"/>
              </w:rPr>
              <w:t>, f</w:t>
            </w:r>
            <w:r w:rsidR="00AC6F85" w:rsidRPr="00B62A4E">
              <w:rPr>
                <w:lang w:val="nl-NL"/>
              </w:rPr>
              <w:t>inancieel-technische en actuariële aspecten</w:t>
            </w:r>
          </w:p>
        </w:tc>
      </w:tr>
      <w:tr w:rsidR="00B62A4E" w:rsidRPr="000A7159" w14:paraId="0DC002ED" w14:textId="77777777" w:rsidTr="00B6584D">
        <w:tc>
          <w:tcPr>
            <w:tcW w:w="4512" w:type="dxa"/>
          </w:tcPr>
          <w:p w14:paraId="4DC64FA9" w14:textId="5FDE247D" w:rsidR="00B62A4E" w:rsidRPr="00B62A4E" w:rsidRDefault="00B62A4E" w:rsidP="0081080A">
            <w:pPr>
              <w:spacing w:before="20" w:after="20"/>
              <w:rPr>
                <w:b/>
                <w:lang w:val="nl-NL"/>
              </w:rPr>
            </w:pPr>
            <w:r w:rsidRPr="00B62A4E">
              <w:rPr>
                <w:b/>
                <w:lang w:val="nl-NL"/>
              </w:rPr>
              <w:t>Pensioen</w:t>
            </w:r>
            <w:r w:rsidR="001752D8">
              <w:rPr>
                <w:rFonts w:ascii="Frutiger LT Pro 45 Light" w:eastAsia="Frutiger LT Pro 45 Light" w:hAnsi="Frutiger LT Pro 45 Light" w:cs="Times New Roman"/>
                <w:b/>
                <w:lang w:val="nl-NL"/>
              </w:rPr>
              <w:t>, Communicatie &amp; Governance</w:t>
            </w:r>
          </w:p>
        </w:tc>
        <w:tc>
          <w:tcPr>
            <w:tcW w:w="4549" w:type="dxa"/>
          </w:tcPr>
          <w:p w14:paraId="4BEAE780" w14:textId="361F1DF4" w:rsidR="00B62A4E" w:rsidRPr="00B62A4E" w:rsidRDefault="00B62A4E" w:rsidP="00AC6F85">
            <w:pPr>
              <w:spacing w:before="20" w:after="20"/>
              <w:rPr>
                <w:lang w:val="nl-NL"/>
              </w:rPr>
            </w:pPr>
            <w:r w:rsidRPr="00B62A4E">
              <w:rPr>
                <w:lang w:val="nl-NL"/>
              </w:rPr>
              <w:t xml:space="preserve">Wet- en regelgeving, </w:t>
            </w:r>
            <w:r w:rsidR="00C444E3">
              <w:rPr>
                <w:lang w:val="nl-NL"/>
              </w:rPr>
              <w:t>p</w:t>
            </w:r>
            <w:r w:rsidRPr="00B62A4E">
              <w:rPr>
                <w:lang w:val="nl-NL"/>
              </w:rPr>
              <w:t xml:space="preserve">ensioenregelingen en </w:t>
            </w:r>
            <w:r w:rsidR="00AC6F85">
              <w:rPr>
                <w:lang w:val="nl-NL"/>
              </w:rPr>
              <w:t>–</w:t>
            </w:r>
            <w:r w:rsidRPr="00B62A4E">
              <w:rPr>
                <w:lang w:val="nl-NL"/>
              </w:rPr>
              <w:t>soorten</w:t>
            </w:r>
            <w:r w:rsidR="00AC6F85">
              <w:rPr>
                <w:lang w:val="nl-NL"/>
              </w:rPr>
              <w:t xml:space="preserve">, </w:t>
            </w:r>
            <w:r w:rsidR="00C444E3">
              <w:rPr>
                <w:lang w:val="nl-NL"/>
              </w:rPr>
              <w:t>c</w:t>
            </w:r>
            <w:r w:rsidR="00AC6F85" w:rsidRPr="00B62A4E">
              <w:rPr>
                <w:lang w:val="nl-NL"/>
              </w:rPr>
              <w:t>ommunicatie</w:t>
            </w:r>
            <w:r w:rsidR="00AC6F85">
              <w:rPr>
                <w:lang w:val="nl-NL"/>
              </w:rPr>
              <w:t xml:space="preserve">, </w:t>
            </w:r>
            <w:r w:rsidR="00C444E3">
              <w:rPr>
                <w:lang w:val="nl-NL"/>
              </w:rPr>
              <w:t>g</w:t>
            </w:r>
            <w:r w:rsidR="00AC6F85">
              <w:rPr>
                <w:lang w:val="nl-NL"/>
              </w:rPr>
              <w:t>overnance</w:t>
            </w:r>
          </w:p>
        </w:tc>
      </w:tr>
    </w:tbl>
    <w:p w14:paraId="1A3D0761" w14:textId="77777777" w:rsidR="00B62A4E" w:rsidRPr="008B66AE" w:rsidRDefault="00B62A4E" w:rsidP="00B62A4E">
      <w:pPr>
        <w:rPr>
          <w:lang w:val="nl-NL"/>
        </w:rPr>
      </w:pPr>
    </w:p>
    <w:p w14:paraId="3250E071" w14:textId="485F766E" w:rsidR="00B62A4E" w:rsidRPr="00B62A4E" w:rsidRDefault="00B62A4E" w:rsidP="00B62A4E">
      <w:pPr>
        <w:rPr>
          <w:lang w:val="nl-NL"/>
        </w:rPr>
      </w:pPr>
      <w:r w:rsidRPr="00B62A4E">
        <w:rPr>
          <w:lang w:val="nl-NL"/>
        </w:rPr>
        <w:t xml:space="preserve">Per </w:t>
      </w:r>
      <w:r w:rsidR="00F54545">
        <w:rPr>
          <w:lang w:val="nl-NL"/>
        </w:rPr>
        <w:t>commissie</w:t>
      </w:r>
      <w:r w:rsidRPr="00B62A4E">
        <w:rPr>
          <w:lang w:val="nl-NL"/>
        </w:rPr>
        <w:t xml:space="preserve"> zijn ten minste drie bestuursleden </w:t>
      </w:r>
      <w:r w:rsidR="00F54545">
        <w:rPr>
          <w:lang w:val="nl-NL"/>
        </w:rPr>
        <w:t>lid</w:t>
      </w:r>
      <w:r w:rsidRPr="00B62A4E">
        <w:rPr>
          <w:lang w:val="nl-NL"/>
        </w:rPr>
        <w:t xml:space="preserve">. Het fonds kent daarnaast een klachten- en geschillencommissie, waarin </w:t>
      </w:r>
      <w:r w:rsidR="001752D8">
        <w:rPr>
          <w:lang w:val="nl-NL"/>
        </w:rPr>
        <w:t>drie</w:t>
      </w:r>
      <w:r w:rsidRPr="00B62A4E">
        <w:rPr>
          <w:lang w:val="nl-NL"/>
        </w:rPr>
        <w:t xml:space="preserve"> </w:t>
      </w:r>
      <w:r w:rsidR="00F54545">
        <w:rPr>
          <w:lang w:val="nl-NL"/>
        </w:rPr>
        <w:t>leden</w:t>
      </w:r>
      <w:r w:rsidRPr="00B62A4E">
        <w:rPr>
          <w:lang w:val="nl-NL"/>
        </w:rPr>
        <w:t xml:space="preserve"> van </w:t>
      </w:r>
      <w:r w:rsidR="00F54545">
        <w:rPr>
          <w:lang w:val="nl-NL"/>
        </w:rPr>
        <w:t>de commissie</w:t>
      </w:r>
      <w:r w:rsidRPr="00B62A4E">
        <w:rPr>
          <w:lang w:val="nl-NL"/>
        </w:rPr>
        <w:t xml:space="preserve"> </w:t>
      </w:r>
      <w:r w:rsidR="00555731" w:rsidRPr="001752D8">
        <w:rPr>
          <w:lang w:val="nl-NL"/>
        </w:rPr>
        <w:t>P</w:t>
      </w:r>
      <w:r w:rsidRPr="001752D8">
        <w:rPr>
          <w:lang w:val="nl-NL"/>
        </w:rPr>
        <w:t>ensioe</w:t>
      </w:r>
      <w:r w:rsidR="001752D8" w:rsidRPr="001752D8">
        <w:rPr>
          <w:lang w:val="nl-NL"/>
        </w:rPr>
        <w:t>n</w:t>
      </w:r>
      <w:r w:rsidR="001752D8" w:rsidRPr="006B5FB0">
        <w:rPr>
          <w:rFonts w:ascii="Frutiger LT Pro 45 Light" w:eastAsia="Frutiger LT Pro 45 Light" w:hAnsi="Frutiger LT Pro 45 Light" w:cs="Times New Roman"/>
          <w:lang w:val="nl-NL"/>
        </w:rPr>
        <w:t>, Communicatie &amp; Governance</w:t>
      </w:r>
      <w:r w:rsidRPr="00B62A4E">
        <w:rPr>
          <w:lang w:val="nl-NL"/>
        </w:rPr>
        <w:t xml:space="preserve"> zitting hebben.</w:t>
      </w:r>
    </w:p>
    <w:p w14:paraId="63BF1E79" w14:textId="77777777" w:rsidR="004454E4" w:rsidRDefault="004454E4" w:rsidP="00B62A4E">
      <w:pPr>
        <w:rPr>
          <w:lang w:val="nl-NL"/>
        </w:rPr>
      </w:pPr>
    </w:p>
    <w:p w14:paraId="3600F67A" w14:textId="77777777" w:rsidR="00B62A4E" w:rsidRPr="00B62A4E" w:rsidRDefault="00B62A4E" w:rsidP="00B62A4E">
      <w:pPr>
        <w:rPr>
          <w:lang w:val="nl-NL"/>
        </w:rPr>
      </w:pPr>
      <w:r w:rsidRPr="00B62A4E">
        <w:rPr>
          <w:lang w:val="nl-NL"/>
        </w:rPr>
        <w:t xml:space="preserve">Het bestuur heeft een adviserend actuaris aangesteld, die het bestuur op actuarieel en financieel technisch gebied van adviezen voorziet en op verzoek deelneemt aan bestuursvergaderingen. De adviserend actuaris adviseert </w:t>
      </w:r>
      <w:r w:rsidR="00613B0D">
        <w:rPr>
          <w:lang w:val="nl-NL"/>
        </w:rPr>
        <w:t>het bestuur in ieder geval bij:</w:t>
      </w:r>
    </w:p>
    <w:p w14:paraId="5DFC7D16" w14:textId="77777777" w:rsidR="00B62A4E" w:rsidRPr="00B62A4E" w:rsidRDefault="0023776C" w:rsidP="001E699B">
      <w:pPr>
        <w:pStyle w:val="Lijstalinea"/>
        <w:numPr>
          <w:ilvl w:val="0"/>
          <w:numId w:val="9"/>
        </w:numPr>
        <w:rPr>
          <w:lang w:val="nl-NL"/>
        </w:rPr>
      </w:pPr>
      <w:r>
        <w:rPr>
          <w:lang w:val="nl-NL"/>
        </w:rPr>
        <w:t>D</w:t>
      </w:r>
      <w:r w:rsidR="00B62A4E" w:rsidRPr="00B62A4E">
        <w:rPr>
          <w:lang w:val="nl-NL"/>
        </w:rPr>
        <w:t>e beoordeling van fondsdocumenten, beleidsstukken c.q. adviezen op actuarieel gebied</w:t>
      </w:r>
      <w:r>
        <w:rPr>
          <w:lang w:val="nl-NL"/>
        </w:rPr>
        <w:t>.</w:t>
      </w:r>
    </w:p>
    <w:p w14:paraId="3A579BDF" w14:textId="77777777" w:rsidR="00B62A4E" w:rsidRPr="00B62A4E" w:rsidRDefault="0023776C" w:rsidP="001E699B">
      <w:pPr>
        <w:pStyle w:val="Lijstalinea"/>
        <w:numPr>
          <w:ilvl w:val="0"/>
          <w:numId w:val="9"/>
        </w:numPr>
        <w:rPr>
          <w:lang w:val="nl-NL"/>
        </w:rPr>
      </w:pPr>
      <w:r>
        <w:rPr>
          <w:lang w:val="nl-NL"/>
        </w:rPr>
        <w:t>D</w:t>
      </w:r>
      <w:r w:rsidR="00B62A4E" w:rsidRPr="00B62A4E">
        <w:rPr>
          <w:lang w:val="nl-NL"/>
        </w:rPr>
        <w:t>e interpretatie van het periodieke ALM­onderzoek (als basis voor het beleggingsbeleid)</w:t>
      </w:r>
      <w:r>
        <w:rPr>
          <w:lang w:val="nl-NL"/>
        </w:rPr>
        <w:t>.</w:t>
      </w:r>
      <w:r w:rsidR="00B62A4E" w:rsidRPr="00B62A4E">
        <w:rPr>
          <w:lang w:val="nl-NL"/>
        </w:rPr>
        <w:t xml:space="preserve"> </w:t>
      </w:r>
    </w:p>
    <w:p w14:paraId="76CDEC16" w14:textId="77777777" w:rsidR="00B62A4E" w:rsidRPr="00B62A4E" w:rsidRDefault="0023776C" w:rsidP="001E699B">
      <w:pPr>
        <w:pStyle w:val="Lijstalinea"/>
        <w:numPr>
          <w:ilvl w:val="0"/>
          <w:numId w:val="9"/>
        </w:numPr>
        <w:rPr>
          <w:lang w:val="nl-NL"/>
        </w:rPr>
      </w:pPr>
      <w:r>
        <w:rPr>
          <w:lang w:val="nl-NL"/>
        </w:rPr>
        <w:t>H</w:t>
      </w:r>
      <w:r w:rsidR="00B62A4E" w:rsidRPr="00B62A4E">
        <w:rPr>
          <w:lang w:val="nl-NL"/>
        </w:rPr>
        <w:t>et te voeren pensioen-, toeslag- en financieringsbeleid.</w:t>
      </w:r>
      <w:r w:rsidR="00B62A4E">
        <w:rPr>
          <w:lang w:val="nl-NL"/>
        </w:rPr>
        <w:br/>
      </w:r>
    </w:p>
    <w:p w14:paraId="54E6F10A" w14:textId="77777777" w:rsidR="002A5F41" w:rsidRDefault="002A5F41" w:rsidP="00B62A4E">
      <w:pPr>
        <w:rPr>
          <w:i/>
          <w:lang w:val="nl-NL"/>
        </w:rPr>
      </w:pPr>
    </w:p>
    <w:p w14:paraId="3AB9FFF3" w14:textId="77777777" w:rsidR="00BF65F8" w:rsidRPr="00B6584D" w:rsidRDefault="00BF65F8" w:rsidP="00BF65F8">
      <w:pPr>
        <w:rPr>
          <w:i/>
          <w:lang w:val="nl-NL"/>
        </w:rPr>
      </w:pPr>
      <w:r w:rsidRPr="00B6584D">
        <w:rPr>
          <w:i/>
          <w:lang w:val="nl-NL"/>
        </w:rPr>
        <w:t>Deskundigheid en competenties</w:t>
      </w:r>
      <w:r w:rsidRPr="00BF65F8">
        <w:rPr>
          <w:i/>
          <w:lang w:val="nl-NL"/>
        </w:rPr>
        <w:t xml:space="preserve"> </w:t>
      </w:r>
    </w:p>
    <w:p w14:paraId="0C9CD5A9" w14:textId="77777777" w:rsidR="00BF65F8" w:rsidRPr="00B6584D" w:rsidRDefault="00BF65F8" w:rsidP="00BF65F8">
      <w:pPr>
        <w:rPr>
          <w:lang w:val="nl-NL"/>
        </w:rPr>
      </w:pPr>
    </w:p>
    <w:p w14:paraId="77BD79B3" w14:textId="24A8C67C" w:rsidR="00BF65F8" w:rsidRDefault="00BF65F8" w:rsidP="00BF65F8">
      <w:pPr>
        <w:rPr>
          <w:lang w:val="nl-NL"/>
        </w:rPr>
      </w:pPr>
      <w:r w:rsidRPr="00B6584D">
        <w:rPr>
          <w:lang w:val="nl-NL"/>
        </w:rPr>
        <w:t xml:space="preserve">Het bestuur heeft een ‘Geschiktheidsplan’ opgesteld waarin de eisen zijn opgenomen die aan de individuele bestuursleden en aan het bestuur als geheel worden gesteld. </w:t>
      </w:r>
      <w:r>
        <w:rPr>
          <w:lang w:val="nl-NL"/>
        </w:rPr>
        <w:t xml:space="preserve">Ook heeft het bestuur hierin </w:t>
      </w:r>
      <w:r w:rsidRPr="00B6584D">
        <w:rPr>
          <w:lang w:val="nl-NL"/>
        </w:rPr>
        <w:t xml:space="preserve">een aantal generieke en specifieke competenties geformuleerd en streeft naar evenwicht in de competenties in die zin dat alle competenties in elk geval in voldoende mate vertegenwoordigd zijn in het bestuur. </w:t>
      </w:r>
      <w:r>
        <w:rPr>
          <w:lang w:val="nl-NL"/>
        </w:rPr>
        <w:t xml:space="preserve">Om het bestuurlijk handelen van het bestuur te toetsen aan de doelstellingen van het fonds en de wettelijke eisen die aan fondsbesturen worden gesteld, voert het bestuur jaarlijks een zelfevaluatie uit. Het bestuur kan zich hierbij laten ondersteunen door een onafhankelijke derde. </w:t>
      </w:r>
    </w:p>
    <w:p w14:paraId="3AF2C8E8" w14:textId="77777777" w:rsidR="00BF65F8" w:rsidRDefault="00BF65F8" w:rsidP="00BF65F8">
      <w:pPr>
        <w:rPr>
          <w:rFonts w:ascii="Frutiger Light" w:hAnsi="Frutiger Light" w:cs="Arial"/>
          <w:sz w:val="21"/>
          <w:szCs w:val="21"/>
          <w:lang w:val="nl-NL"/>
        </w:rPr>
      </w:pPr>
    </w:p>
    <w:p w14:paraId="0F122FF2" w14:textId="77777777" w:rsidR="00BF65F8" w:rsidRDefault="00BF65F8" w:rsidP="00BF65F8">
      <w:pPr>
        <w:rPr>
          <w:rFonts w:ascii="Frutiger Light" w:hAnsi="Frutiger Light" w:cs="Arial"/>
          <w:sz w:val="21"/>
          <w:szCs w:val="21"/>
          <w:lang w:val="nl-NL"/>
        </w:rPr>
      </w:pPr>
    </w:p>
    <w:p w14:paraId="47C60B37" w14:textId="77777777" w:rsidR="00BF65F8" w:rsidRDefault="00BF65F8" w:rsidP="00BF65F8">
      <w:pPr>
        <w:rPr>
          <w:i/>
          <w:lang w:val="nl-NL"/>
        </w:rPr>
      </w:pPr>
      <w:r w:rsidRPr="00B6584D">
        <w:rPr>
          <w:i/>
          <w:lang w:val="nl-NL"/>
        </w:rPr>
        <w:t>Diversiteit</w:t>
      </w:r>
    </w:p>
    <w:p w14:paraId="13A90E95" w14:textId="77777777" w:rsidR="00BF65F8" w:rsidRPr="00B6584D" w:rsidRDefault="00BF65F8" w:rsidP="00BF65F8">
      <w:pPr>
        <w:rPr>
          <w:i/>
          <w:lang w:val="nl-NL"/>
        </w:rPr>
      </w:pPr>
    </w:p>
    <w:p w14:paraId="57A11630" w14:textId="65526132" w:rsidR="00BF65F8" w:rsidRPr="003914BE" w:rsidRDefault="00BF65F8" w:rsidP="00BF65F8">
      <w:pPr>
        <w:rPr>
          <w:lang w:val="nl-NL"/>
        </w:rPr>
      </w:pPr>
      <w:r w:rsidRPr="00B6584D">
        <w:rPr>
          <w:lang w:val="nl-NL"/>
        </w:rPr>
        <w:t xml:space="preserve">Om de geschiktheid van het bestuur te borgen geldt dat bij het ontstaan van een vacature het bestuur mede aan de hand van de geschiktheidsmatrix vaststelt over welke deskundigheid en competenties een nieuw bestuurslid dient te beschikken. Het bestuur hecht, gelet op het belang van betrokkenen bij een adequaat bestuurd pensioenfonds, grote waarde aan de geschiktheid van de bestuurders. Daarnaast hecht het bestuur ook aan diversiteit in alle organen van het fonds en zeker ook in het bestuur zelf. Daarbij gaat het niet alleen om geslacht en leeftijd, maar ook om verschillen in achtergrond en competenties van de diverse bestuursleden, om zo te kunnen bijdragen aan de benodigde verscheidenheid aan vaardigheden, culturen en zienswijzen in het bestuur en aan de representativiteit en herkenbaarheid van de belanghebbenden. Dit betekent dat bij de invulling van vacatures in het bestuur de kwaliteit (kennis, kunde en ervaring) en professioneel </w:t>
      </w:r>
      <w:r w:rsidRPr="003914BE">
        <w:rPr>
          <w:lang w:val="nl-NL"/>
        </w:rPr>
        <w:t>gedrag van ee</w:t>
      </w:r>
      <w:r w:rsidR="00486B4D" w:rsidRPr="003914BE">
        <w:rPr>
          <w:lang w:val="nl-NL"/>
        </w:rPr>
        <w:t>n kandidaat voorop staat</w:t>
      </w:r>
      <w:r w:rsidR="007D4FFD" w:rsidRPr="006B5FB0">
        <w:rPr>
          <w:rFonts w:eastAsia="Frutiger Light"/>
          <w:lang w:val="nl-NL"/>
        </w:rPr>
        <w:t>, maar ook zal worden meegewogen of een kandidaat competenties en invalshoeken inbrengt die ertoe bijdragen dat besluitvorming vanuit verschillende invalshoeken en perspectieven plaatsvindt. Bij keuze tussen meerdere geschikte kandidaten staat optimalisering van diversiteit voorop.</w:t>
      </w:r>
    </w:p>
    <w:p w14:paraId="59DD01C8" w14:textId="77777777" w:rsidR="00BF65F8" w:rsidRPr="003914BE" w:rsidRDefault="00BF65F8" w:rsidP="00BF65F8">
      <w:pPr>
        <w:rPr>
          <w:lang w:val="nl-NL"/>
        </w:rPr>
      </w:pPr>
    </w:p>
    <w:p w14:paraId="0E9A4767" w14:textId="77777777" w:rsidR="00BF65F8" w:rsidRPr="00B6584D" w:rsidRDefault="00BF65F8" w:rsidP="00BF65F8">
      <w:pPr>
        <w:rPr>
          <w:lang w:val="nl-NL"/>
        </w:rPr>
      </w:pPr>
      <w:r w:rsidRPr="00B6584D">
        <w:rPr>
          <w:lang w:val="nl-NL"/>
        </w:rPr>
        <w:t xml:space="preserve">Dit wordt door het bestuur vastgelegd in een profiel dat, nadat dit door de raad van toezicht is goedgekeurd, wordt overlegd aan de voordragende partij met het verzoek een kandidaat voor te dragen die aan het profiel voldoet. De toetsing of de voorgedragen kandidaat daadwerkelijk voldoet, </w:t>
      </w:r>
      <w:r w:rsidRPr="00B6584D">
        <w:rPr>
          <w:lang w:val="nl-NL"/>
        </w:rPr>
        <w:lastRenderedPageBreak/>
        <w:t>geschiedt door het bestuur. Vervolgens legt het bestuur de kandidaat voor aan de raad van toezicht, die de kandidaat kan afwijzen als deze niet aan het profiel voldoet.</w:t>
      </w:r>
    </w:p>
    <w:p w14:paraId="4FB1E38E" w14:textId="77777777" w:rsidR="00BF65F8" w:rsidRPr="00B6584D" w:rsidRDefault="00BF65F8" w:rsidP="00BF65F8">
      <w:pPr>
        <w:rPr>
          <w:lang w:val="nl-NL"/>
        </w:rPr>
      </w:pPr>
    </w:p>
    <w:p w14:paraId="0D95B6F7" w14:textId="77777777" w:rsidR="00B62A4E" w:rsidRPr="00B62A4E" w:rsidRDefault="00B62A4E" w:rsidP="00B62A4E">
      <w:pPr>
        <w:rPr>
          <w:i/>
          <w:lang w:val="nl-NL"/>
        </w:rPr>
      </w:pPr>
      <w:r w:rsidRPr="00B62A4E">
        <w:rPr>
          <w:i/>
          <w:lang w:val="nl-NL"/>
        </w:rPr>
        <w:t>Taken en bevoegdheden</w:t>
      </w:r>
    </w:p>
    <w:p w14:paraId="4398CE3D" w14:textId="7322EAF7" w:rsidR="00B62A4E" w:rsidRPr="00B62A4E" w:rsidRDefault="00B62A4E" w:rsidP="00B62A4E">
      <w:pPr>
        <w:rPr>
          <w:lang w:val="nl-NL"/>
        </w:rPr>
      </w:pPr>
      <w:r w:rsidRPr="00B62A4E">
        <w:rPr>
          <w:lang w:val="nl-NL"/>
        </w:rPr>
        <w:t xml:space="preserve">Het bestuur van </w:t>
      </w:r>
      <w:r w:rsidR="00D5138A">
        <w:rPr>
          <w:lang w:val="nl-NL"/>
        </w:rPr>
        <w:t xml:space="preserve">ons </w:t>
      </w:r>
      <w:r w:rsidRPr="00B62A4E">
        <w:rPr>
          <w:lang w:val="nl-NL"/>
        </w:rPr>
        <w:t xml:space="preserve">fonds is verantwoordelijk voor het besturen van </w:t>
      </w:r>
      <w:r w:rsidR="00D5138A">
        <w:rPr>
          <w:lang w:val="nl-NL"/>
        </w:rPr>
        <w:t>ons</w:t>
      </w:r>
      <w:r w:rsidR="00D5138A" w:rsidRPr="00B62A4E">
        <w:rPr>
          <w:lang w:val="nl-NL"/>
        </w:rPr>
        <w:t xml:space="preserve"> </w:t>
      </w:r>
      <w:r w:rsidRPr="00B62A4E">
        <w:rPr>
          <w:lang w:val="nl-NL"/>
        </w:rPr>
        <w:t xml:space="preserve">fonds, communicatie met verzekerden, de governance van </w:t>
      </w:r>
      <w:r w:rsidR="00D5138A">
        <w:rPr>
          <w:lang w:val="nl-NL"/>
        </w:rPr>
        <w:t>ons</w:t>
      </w:r>
      <w:r w:rsidR="00D5138A" w:rsidRPr="00B62A4E">
        <w:rPr>
          <w:lang w:val="nl-NL"/>
        </w:rPr>
        <w:t xml:space="preserve"> </w:t>
      </w:r>
      <w:r w:rsidRPr="00B62A4E">
        <w:rPr>
          <w:lang w:val="nl-NL"/>
        </w:rPr>
        <w:t xml:space="preserve">fonds, het uitvoeren van de pensioenregeling, het voeren van het financieel beheer, het beheer van het fondsvermogen en het beheersen van de risico’s die </w:t>
      </w:r>
      <w:r w:rsidR="00D5138A">
        <w:rPr>
          <w:lang w:val="nl-NL"/>
        </w:rPr>
        <w:t>ons</w:t>
      </w:r>
      <w:r w:rsidR="00D5138A" w:rsidRPr="00B62A4E">
        <w:rPr>
          <w:lang w:val="nl-NL"/>
        </w:rPr>
        <w:t xml:space="preserve"> </w:t>
      </w:r>
      <w:r w:rsidRPr="00B62A4E">
        <w:rPr>
          <w:lang w:val="nl-NL"/>
        </w:rPr>
        <w:t>fonds loopt.</w:t>
      </w:r>
    </w:p>
    <w:p w14:paraId="582CCFF4" w14:textId="77777777" w:rsidR="00B62A4E" w:rsidRPr="00B62A4E" w:rsidRDefault="00B62A4E" w:rsidP="00B62A4E">
      <w:pPr>
        <w:rPr>
          <w:lang w:val="nl-NL"/>
        </w:rPr>
      </w:pPr>
    </w:p>
    <w:p w14:paraId="4A329CA8" w14:textId="1D9D0569" w:rsidR="00B62A4E" w:rsidRPr="00B62A4E" w:rsidRDefault="00B62A4E" w:rsidP="00B62A4E">
      <w:pPr>
        <w:rPr>
          <w:lang w:val="nl-NL"/>
        </w:rPr>
      </w:pPr>
      <w:r w:rsidRPr="00B62A4E">
        <w:rPr>
          <w:lang w:val="nl-NL"/>
        </w:rPr>
        <w:t xml:space="preserve">De bevoegdheden van het fondsbestuur zijn vastgelegd in de statuten van </w:t>
      </w:r>
      <w:r w:rsidR="00D5138A">
        <w:rPr>
          <w:lang w:val="nl-NL"/>
        </w:rPr>
        <w:t>ons</w:t>
      </w:r>
      <w:r w:rsidR="00D5138A" w:rsidRPr="00B62A4E">
        <w:rPr>
          <w:lang w:val="nl-NL"/>
        </w:rPr>
        <w:t xml:space="preserve"> </w:t>
      </w:r>
      <w:r w:rsidRPr="00B62A4E">
        <w:rPr>
          <w:lang w:val="nl-NL"/>
        </w:rPr>
        <w:t xml:space="preserve">fonds. Het betreft onder andere: </w:t>
      </w:r>
    </w:p>
    <w:p w14:paraId="12B0AAC8" w14:textId="77777777" w:rsidR="00B62A4E" w:rsidRPr="00613B0D" w:rsidRDefault="0023776C" w:rsidP="001E699B">
      <w:pPr>
        <w:pStyle w:val="Lijstalinea"/>
        <w:numPr>
          <w:ilvl w:val="0"/>
          <w:numId w:val="10"/>
        </w:numPr>
        <w:rPr>
          <w:lang w:val="nl-NL"/>
        </w:rPr>
      </w:pPr>
      <w:r>
        <w:rPr>
          <w:lang w:val="nl-NL"/>
        </w:rPr>
        <w:t>H</w:t>
      </w:r>
      <w:r w:rsidR="00B62A4E" w:rsidRPr="00613B0D">
        <w:rPr>
          <w:lang w:val="nl-NL"/>
        </w:rPr>
        <w:t>et aangaan van daden van beheer en beschikking</w:t>
      </w:r>
      <w:r>
        <w:rPr>
          <w:lang w:val="nl-NL"/>
        </w:rPr>
        <w:t>.</w:t>
      </w:r>
    </w:p>
    <w:p w14:paraId="1E9474A7" w14:textId="77777777" w:rsidR="00B62A4E" w:rsidRPr="00613B0D" w:rsidRDefault="0023776C" w:rsidP="001E699B">
      <w:pPr>
        <w:pStyle w:val="Lijstalinea"/>
        <w:numPr>
          <w:ilvl w:val="0"/>
          <w:numId w:val="10"/>
        </w:numPr>
        <w:rPr>
          <w:lang w:val="nl-NL"/>
        </w:rPr>
      </w:pPr>
      <w:r>
        <w:rPr>
          <w:lang w:val="nl-NL"/>
        </w:rPr>
        <w:t>H</w:t>
      </w:r>
      <w:r w:rsidR="00B62A4E" w:rsidRPr="00613B0D">
        <w:rPr>
          <w:lang w:val="nl-NL"/>
        </w:rPr>
        <w:t>et aangaan van overeenkomsten tot het verkrijgen, vervreemden of bezwaren van registergoederen</w:t>
      </w:r>
      <w:r>
        <w:rPr>
          <w:lang w:val="nl-NL"/>
        </w:rPr>
        <w:t>.</w:t>
      </w:r>
    </w:p>
    <w:p w14:paraId="404BF4C6" w14:textId="77777777" w:rsidR="00B62A4E" w:rsidRPr="00613B0D" w:rsidRDefault="0023776C" w:rsidP="001E699B">
      <w:pPr>
        <w:pStyle w:val="Lijstalinea"/>
        <w:numPr>
          <w:ilvl w:val="0"/>
          <w:numId w:val="10"/>
        </w:numPr>
        <w:rPr>
          <w:lang w:val="nl-NL"/>
        </w:rPr>
      </w:pPr>
      <w:r>
        <w:rPr>
          <w:lang w:val="nl-NL"/>
        </w:rPr>
        <w:t>H</w:t>
      </w:r>
      <w:r w:rsidR="00B62A4E" w:rsidRPr="00613B0D">
        <w:rPr>
          <w:lang w:val="nl-NL"/>
        </w:rPr>
        <w:t>et vaststellen en wijzigen van fondsdocumenten en het pensioenreglement</w:t>
      </w:r>
      <w:r>
        <w:rPr>
          <w:lang w:val="nl-NL"/>
        </w:rPr>
        <w:t>.</w:t>
      </w:r>
      <w:r w:rsidR="00B62A4E" w:rsidRPr="00613B0D">
        <w:rPr>
          <w:lang w:val="nl-NL"/>
        </w:rPr>
        <w:t xml:space="preserve"> </w:t>
      </w:r>
    </w:p>
    <w:p w14:paraId="3CFA1C0F" w14:textId="77777777" w:rsidR="00B62A4E" w:rsidRDefault="0023776C" w:rsidP="001E699B">
      <w:pPr>
        <w:pStyle w:val="Lijstalinea"/>
        <w:numPr>
          <w:ilvl w:val="0"/>
          <w:numId w:val="10"/>
        </w:numPr>
        <w:rPr>
          <w:lang w:val="nl-NL"/>
        </w:rPr>
      </w:pPr>
      <w:r>
        <w:rPr>
          <w:lang w:val="nl-NL"/>
        </w:rPr>
        <w:t>H</w:t>
      </w:r>
      <w:r w:rsidR="00B62A4E" w:rsidRPr="00613B0D">
        <w:rPr>
          <w:lang w:val="nl-NL"/>
        </w:rPr>
        <w:t>et benoemen van de directeur, de integraal risicomanager, de compliance officer en externe adviseurs</w:t>
      </w:r>
      <w:r>
        <w:rPr>
          <w:lang w:val="nl-NL"/>
        </w:rPr>
        <w:t>.</w:t>
      </w:r>
    </w:p>
    <w:p w14:paraId="621333E7" w14:textId="77777777" w:rsidR="00C444E3" w:rsidRDefault="00C444E3" w:rsidP="001E699B">
      <w:pPr>
        <w:pStyle w:val="Lijstalinea"/>
        <w:numPr>
          <w:ilvl w:val="0"/>
          <w:numId w:val="10"/>
        </w:numPr>
        <w:rPr>
          <w:lang w:val="nl-NL"/>
        </w:rPr>
      </w:pPr>
      <w:r>
        <w:rPr>
          <w:lang w:val="nl-NL"/>
        </w:rPr>
        <w:t>H</w:t>
      </w:r>
      <w:r w:rsidRPr="00613B0D">
        <w:rPr>
          <w:lang w:val="nl-NL"/>
        </w:rPr>
        <w:t xml:space="preserve">et benoemen van </w:t>
      </w:r>
      <w:r>
        <w:rPr>
          <w:lang w:val="nl-NL"/>
        </w:rPr>
        <w:t xml:space="preserve">de voorzitter en de </w:t>
      </w:r>
      <w:r w:rsidRPr="00613B0D">
        <w:rPr>
          <w:lang w:val="nl-NL"/>
        </w:rPr>
        <w:t xml:space="preserve">leden van de </w:t>
      </w:r>
      <w:r>
        <w:rPr>
          <w:lang w:val="nl-NL"/>
        </w:rPr>
        <w:t>raad van toezicht, na bindende voordracht van het verantwoordingsorgaan.</w:t>
      </w:r>
    </w:p>
    <w:p w14:paraId="15BB1790" w14:textId="77777777" w:rsidR="00C444E3" w:rsidRPr="00C444E3" w:rsidRDefault="00C444E3" w:rsidP="001E699B">
      <w:pPr>
        <w:pStyle w:val="Lijstalinea"/>
        <w:numPr>
          <w:ilvl w:val="0"/>
          <w:numId w:val="10"/>
        </w:numPr>
        <w:rPr>
          <w:lang w:val="nl-NL"/>
        </w:rPr>
      </w:pPr>
      <w:r>
        <w:rPr>
          <w:lang w:val="nl-NL"/>
        </w:rPr>
        <w:t xml:space="preserve">Het benoemen van leden van het verantwoordingsorgaan </w:t>
      </w:r>
    </w:p>
    <w:p w14:paraId="45839F57" w14:textId="77777777" w:rsidR="00B62A4E" w:rsidRPr="00613B0D" w:rsidRDefault="0023776C" w:rsidP="001E699B">
      <w:pPr>
        <w:pStyle w:val="Lijstalinea"/>
        <w:numPr>
          <w:ilvl w:val="0"/>
          <w:numId w:val="10"/>
        </w:numPr>
        <w:rPr>
          <w:lang w:val="nl-NL"/>
        </w:rPr>
      </w:pPr>
      <w:r>
        <w:rPr>
          <w:lang w:val="nl-NL"/>
        </w:rPr>
        <w:t>H</w:t>
      </w:r>
      <w:r w:rsidR="00B62A4E" w:rsidRPr="00613B0D">
        <w:rPr>
          <w:lang w:val="nl-NL"/>
        </w:rPr>
        <w:t>et verlenen van opdracht aan de registeraccountant en aan de waarmerkend actuaris</w:t>
      </w:r>
      <w:r>
        <w:rPr>
          <w:lang w:val="nl-NL"/>
        </w:rPr>
        <w:t>.</w:t>
      </w:r>
    </w:p>
    <w:p w14:paraId="6584B700" w14:textId="2BE55467" w:rsidR="00B62A4E" w:rsidRPr="00613B0D" w:rsidRDefault="0023776C" w:rsidP="001E699B">
      <w:pPr>
        <w:pStyle w:val="Lijstalinea"/>
        <w:numPr>
          <w:ilvl w:val="0"/>
          <w:numId w:val="10"/>
        </w:numPr>
        <w:rPr>
          <w:lang w:val="nl-NL"/>
        </w:rPr>
      </w:pPr>
      <w:r>
        <w:rPr>
          <w:lang w:val="nl-NL"/>
        </w:rPr>
        <w:t>H</w:t>
      </w:r>
      <w:r w:rsidR="00B62A4E" w:rsidRPr="00613B0D">
        <w:rPr>
          <w:lang w:val="nl-NL"/>
        </w:rPr>
        <w:t xml:space="preserve">et vereffenen van de zaken van </w:t>
      </w:r>
      <w:r w:rsidR="00D5138A">
        <w:rPr>
          <w:lang w:val="nl-NL"/>
        </w:rPr>
        <w:t>ons</w:t>
      </w:r>
      <w:r w:rsidR="00D5138A" w:rsidRPr="00613B0D">
        <w:rPr>
          <w:lang w:val="nl-NL"/>
        </w:rPr>
        <w:t xml:space="preserve"> </w:t>
      </w:r>
      <w:r w:rsidR="00B62A4E" w:rsidRPr="00613B0D">
        <w:rPr>
          <w:lang w:val="nl-NL"/>
        </w:rPr>
        <w:t>fonds.</w:t>
      </w:r>
      <w:r w:rsidR="00613B0D">
        <w:rPr>
          <w:lang w:val="nl-NL"/>
        </w:rPr>
        <w:br/>
      </w:r>
    </w:p>
    <w:p w14:paraId="2F6D7882" w14:textId="77777777" w:rsidR="00B62A4E" w:rsidRPr="00613B0D" w:rsidRDefault="00B62A4E" w:rsidP="00B62A4E">
      <w:pPr>
        <w:rPr>
          <w:i/>
          <w:lang w:val="nl-NL"/>
        </w:rPr>
      </w:pPr>
      <w:r w:rsidRPr="00613B0D">
        <w:rPr>
          <w:i/>
          <w:lang w:val="nl-NL"/>
        </w:rPr>
        <w:t>Besluitvorming</w:t>
      </w:r>
    </w:p>
    <w:p w14:paraId="15B4D039" w14:textId="17E3C34B" w:rsidR="00B62A4E" w:rsidRPr="00B62A4E" w:rsidRDefault="00B62A4E" w:rsidP="00B62A4E">
      <w:pPr>
        <w:rPr>
          <w:lang w:val="nl-NL"/>
        </w:rPr>
      </w:pPr>
      <w:r w:rsidRPr="00B62A4E">
        <w:rPr>
          <w:lang w:val="nl-NL"/>
        </w:rPr>
        <w:t xml:space="preserve">Ten behoeve van de besluitvorming </w:t>
      </w:r>
      <w:r w:rsidR="00C444E3">
        <w:rPr>
          <w:lang w:val="nl-NL"/>
        </w:rPr>
        <w:t>heeft ieder bestuurslid één stem</w:t>
      </w:r>
      <w:r w:rsidR="00144557">
        <w:rPr>
          <w:lang w:val="nl-NL"/>
        </w:rPr>
        <w:t>.</w:t>
      </w:r>
      <w:r w:rsidR="00A234D6">
        <w:rPr>
          <w:lang w:val="nl-NL"/>
        </w:rPr>
        <w:t xml:space="preserve"> </w:t>
      </w:r>
      <w:r w:rsidRPr="00B62A4E">
        <w:rPr>
          <w:lang w:val="nl-NL"/>
        </w:rPr>
        <w:t xml:space="preserve">Besluiten van het bestuur kunnen rechtsgeldig worden genomen als een meerderheid van de stemmen bij de vergadering aanwezig of vertegenwoordigd is. Een aantal besluiten kan </w:t>
      </w:r>
      <w:r w:rsidR="00C54240">
        <w:rPr>
          <w:lang w:val="nl-NL"/>
        </w:rPr>
        <w:t xml:space="preserve">statutair </w:t>
      </w:r>
      <w:r w:rsidRPr="00B62A4E">
        <w:rPr>
          <w:lang w:val="nl-NL"/>
        </w:rPr>
        <w:t xml:space="preserve">slechts bij gekwalificeerde meerderheid van stemmen worden genomen, zoals besluiten over onder andere fusie, liquidatie, splitsing van </w:t>
      </w:r>
      <w:r w:rsidR="00D5138A">
        <w:rPr>
          <w:lang w:val="nl-NL"/>
        </w:rPr>
        <w:t>ons</w:t>
      </w:r>
      <w:r w:rsidR="00D5138A" w:rsidRPr="00B62A4E">
        <w:rPr>
          <w:lang w:val="nl-NL"/>
        </w:rPr>
        <w:t xml:space="preserve"> </w:t>
      </w:r>
      <w:r w:rsidRPr="00B62A4E">
        <w:rPr>
          <w:lang w:val="nl-NL"/>
        </w:rPr>
        <w:t>fonds of wijziging van de statuten.</w:t>
      </w:r>
    </w:p>
    <w:p w14:paraId="54A4C8A3" w14:textId="77777777" w:rsidR="00B62A4E" w:rsidRDefault="00B62A4E" w:rsidP="00B62A4E">
      <w:pPr>
        <w:rPr>
          <w:lang w:val="nl-NL"/>
        </w:rPr>
      </w:pPr>
    </w:p>
    <w:p w14:paraId="6D173C89" w14:textId="67DC5553" w:rsidR="00511ED8" w:rsidRDefault="00511ED8" w:rsidP="00B62A4E">
      <w:r w:rsidRPr="00511ED8">
        <w:t xml:space="preserve">Besluiten kunnen op ieder moment door het </w:t>
      </w:r>
      <w:r>
        <w:t>b</w:t>
      </w:r>
      <w:r w:rsidRPr="00511ED8">
        <w:t xml:space="preserve">estuur buiten vergadering worden genomen mits het desbetreffende voorstel schriftelijk dan wel elektronisch aan alle leden van het </w:t>
      </w:r>
      <w:r>
        <w:t>b</w:t>
      </w:r>
      <w:r w:rsidRPr="00511ED8">
        <w:t xml:space="preserve">estuur is toegezonden en er ten minste een meerderheid dan wel conform een </w:t>
      </w:r>
      <w:r>
        <w:t>g</w:t>
      </w:r>
      <w:r w:rsidRPr="00511ED8">
        <w:t>ekwalificee</w:t>
      </w:r>
      <w:r w:rsidR="004D7C1F">
        <w:t>rde</w:t>
      </w:r>
      <w:r w:rsidR="004D7C1F" w:rsidRPr="004D7C1F">
        <w:t xml:space="preserve"> meerderheid van de stemmen met het besluit schriftelijk of elektronisch heeft ingestemd</w:t>
      </w:r>
      <w:r w:rsidR="004D7C1F">
        <w:t>.</w:t>
      </w:r>
    </w:p>
    <w:p w14:paraId="6FA23540" w14:textId="77777777" w:rsidR="00C6025F" w:rsidRDefault="00C6025F" w:rsidP="00B62A4E">
      <w:pPr>
        <w:rPr>
          <w:lang w:val="nl-NL"/>
        </w:rPr>
      </w:pPr>
    </w:p>
    <w:p w14:paraId="572986DE" w14:textId="77777777" w:rsidR="00B62A4E" w:rsidRPr="00613B0D" w:rsidRDefault="00B62A4E" w:rsidP="00B62A4E">
      <w:pPr>
        <w:rPr>
          <w:i/>
          <w:lang w:val="nl-NL"/>
        </w:rPr>
      </w:pPr>
      <w:r w:rsidRPr="00613B0D">
        <w:rPr>
          <w:i/>
          <w:lang w:val="nl-NL"/>
        </w:rPr>
        <w:t>Overleg</w:t>
      </w:r>
    </w:p>
    <w:p w14:paraId="6F27CB83" w14:textId="77777777" w:rsidR="00B62A4E" w:rsidRPr="00B62A4E" w:rsidRDefault="00B62A4E" w:rsidP="00B62A4E">
      <w:pPr>
        <w:rPr>
          <w:lang w:val="nl-NL"/>
        </w:rPr>
      </w:pPr>
      <w:r w:rsidRPr="00B62A4E">
        <w:rPr>
          <w:lang w:val="nl-NL"/>
        </w:rPr>
        <w:t xml:space="preserve">Naast </w:t>
      </w:r>
      <w:r w:rsidR="00C444E3">
        <w:rPr>
          <w:lang w:val="nl-NL"/>
        </w:rPr>
        <w:t xml:space="preserve">de reguliere </w:t>
      </w:r>
      <w:r w:rsidRPr="00B62A4E">
        <w:rPr>
          <w:lang w:val="nl-NL"/>
        </w:rPr>
        <w:t>bestuursvergaderingen vinden overleggen plaats met de werkgever, de leden van het verantwoordingsorgaan</w:t>
      </w:r>
      <w:r w:rsidR="00C444E3">
        <w:rPr>
          <w:lang w:val="nl-NL"/>
        </w:rPr>
        <w:t xml:space="preserve"> en</w:t>
      </w:r>
      <w:r w:rsidRPr="00B62A4E">
        <w:rPr>
          <w:lang w:val="nl-NL"/>
        </w:rPr>
        <w:t xml:space="preserve"> de leden van de </w:t>
      </w:r>
      <w:r w:rsidR="00C444E3">
        <w:rPr>
          <w:lang w:val="nl-NL"/>
        </w:rPr>
        <w:t>raad van toezicht. Verder</w:t>
      </w:r>
      <w:r w:rsidRPr="00B62A4E">
        <w:rPr>
          <w:lang w:val="nl-NL"/>
        </w:rPr>
        <w:t xml:space="preserve"> vindt in beginsel tweemaal per jaar een gezamenlijk overleg plaats met (vertegenwoordigers van) de werkgever en (vertegenwoordigers van) de vakorganisaties. </w:t>
      </w:r>
    </w:p>
    <w:p w14:paraId="64B74AC3" w14:textId="77777777" w:rsidR="00B62A4E" w:rsidRPr="00B62A4E" w:rsidRDefault="00B62A4E" w:rsidP="00B62A4E">
      <w:pPr>
        <w:rPr>
          <w:lang w:val="nl-NL"/>
        </w:rPr>
      </w:pPr>
    </w:p>
    <w:p w14:paraId="55DFAF46" w14:textId="77777777" w:rsidR="00B62A4E" w:rsidRPr="00613B0D" w:rsidRDefault="00B62A4E" w:rsidP="00B62A4E">
      <w:pPr>
        <w:rPr>
          <w:i/>
          <w:lang w:val="nl-NL"/>
        </w:rPr>
      </w:pPr>
      <w:r w:rsidRPr="00613B0D">
        <w:rPr>
          <w:i/>
          <w:lang w:val="nl-NL"/>
        </w:rPr>
        <w:t>Bestuursbureau</w:t>
      </w:r>
    </w:p>
    <w:p w14:paraId="015405D9" w14:textId="6DB8B08C" w:rsidR="00B62A4E" w:rsidRPr="00B62A4E" w:rsidRDefault="00B62A4E" w:rsidP="00B62A4E">
      <w:pPr>
        <w:rPr>
          <w:lang w:val="nl-NL"/>
        </w:rPr>
      </w:pPr>
      <w:r w:rsidRPr="00B62A4E">
        <w:rPr>
          <w:lang w:val="nl-NL"/>
        </w:rPr>
        <w:t>Het bestuursbureau ondersteunt het bestuur bij de uitvoering van zijn bestuurstaken en bij het invullen van de bestuurlijke regiefunctie en de benodigde deskundigheid om ten aanzien van de uitbestedingspartijen over voldoende 'countervailing power' te beschikken</w:t>
      </w:r>
      <w:r w:rsidRPr="00792C76">
        <w:rPr>
          <w:lang w:val="nl-NL"/>
        </w:rPr>
        <w:t xml:space="preserve">. </w:t>
      </w:r>
      <w:r w:rsidRPr="008814A0">
        <w:rPr>
          <w:lang w:val="nl-NL"/>
        </w:rPr>
        <w:t xml:space="preserve">Daarnaast is de dagelijkse uitvoering van het beleggingsbeleid opgedragen aan het bestuursbureau en is het bestuursbureau belast met de uitvoering van het balansbeheer van </w:t>
      </w:r>
      <w:r w:rsidR="00D5138A">
        <w:rPr>
          <w:lang w:val="nl-NL"/>
        </w:rPr>
        <w:t>ons</w:t>
      </w:r>
      <w:r w:rsidR="00D5138A" w:rsidRPr="008814A0">
        <w:rPr>
          <w:lang w:val="nl-NL"/>
        </w:rPr>
        <w:t xml:space="preserve"> </w:t>
      </w:r>
      <w:r w:rsidRPr="008814A0">
        <w:rPr>
          <w:lang w:val="nl-NL"/>
        </w:rPr>
        <w:t>fonds.</w:t>
      </w:r>
      <w:r w:rsidR="000C575A">
        <w:rPr>
          <w:lang w:val="nl-NL"/>
        </w:rPr>
        <w:t xml:space="preserve"> </w:t>
      </w:r>
      <w:r w:rsidRPr="00B62A4E">
        <w:rPr>
          <w:lang w:val="nl-NL"/>
        </w:rPr>
        <w:t xml:space="preserve">Het bestuursbureau staat onder leiding van </w:t>
      </w:r>
      <w:r w:rsidR="002F2B4A">
        <w:rPr>
          <w:lang w:val="nl-NL"/>
        </w:rPr>
        <w:t>een</w:t>
      </w:r>
      <w:r w:rsidRPr="00B62A4E">
        <w:rPr>
          <w:lang w:val="nl-NL"/>
        </w:rPr>
        <w:t xml:space="preserve"> directeur die verantwoording aflegt aan het bestuur</w:t>
      </w:r>
      <w:r w:rsidR="00B12423">
        <w:rPr>
          <w:lang w:val="nl-NL"/>
        </w:rPr>
        <w:t xml:space="preserve"> en medebeleidsbepaler is</w:t>
      </w:r>
      <w:r w:rsidRPr="00B62A4E">
        <w:rPr>
          <w:lang w:val="nl-NL"/>
        </w:rPr>
        <w:t>.</w:t>
      </w:r>
    </w:p>
    <w:p w14:paraId="0F70FB26" w14:textId="77777777" w:rsidR="00B62A4E" w:rsidRPr="00B62A4E" w:rsidRDefault="00B62A4E" w:rsidP="00B62A4E">
      <w:pPr>
        <w:rPr>
          <w:lang w:val="nl-NL"/>
        </w:rPr>
      </w:pPr>
    </w:p>
    <w:p w14:paraId="7C5FA5D0" w14:textId="77777777" w:rsidR="00B62A4E" w:rsidRPr="00B62A4E" w:rsidRDefault="00B62A4E" w:rsidP="00B62A4E">
      <w:pPr>
        <w:rPr>
          <w:lang w:val="nl-NL"/>
        </w:rPr>
      </w:pPr>
      <w:r w:rsidRPr="00B62A4E">
        <w:rPr>
          <w:lang w:val="nl-NL"/>
        </w:rPr>
        <w:t xml:space="preserve">In het kader van de ondersteuning van het bestuur bij de uitvoering van de bestuurstaken is het bestuursbureau verantwoordelijk voor de beleidsvoorbereiding en beleidsuitvoering. Het bestuursbureau voorziet het bestuur van de informatie die hierbij van belang is. Met betrekking tot de </w:t>
      </w:r>
      <w:r w:rsidRPr="00B62A4E">
        <w:rPr>
          <w:lang w:val="nl-NL"/>
        </w:rPr>
        <w:lastRenderedPageBreak/>
        <w:t xml:space="preserve">ondersteuning bij de bestuurlijke regiefunctie monitort het bestuursbureau de werkzaamheden van de uitbestedingspartijen en de </w:t>
      </w:r>
      <w:r w:rsidRPr="00613B0D">
        <w:rPr>
          <w:lang w:val="nl-NL"/>
        </w:rPr>
        <w:t>naleving</w:t>
      </w:r>
      <w:r w:rsidRPr="00B62A4E">
        <w:rPr>
          <w:lang w:val="nl-NL"/>
        </w:rPr>
        <w:t xml:space="preserve"> door die partijen van afgesproken service- en kwaliteitsniveaus. </w:t>
      </w:r>
    </w:p>
    <w:p w14:paraId="7C690D10" w14:textId="77777777" w:rsidR="005737AE" w:rsidRDefault="005737AE" w:rsidP="00B62A4E">
      <w:pPr>
        <w:rPr>
          <w:lang w:val="nl-NL"/>
        </w:rPr>
      </w:pPr>
    </w:p>
    <w:p w14:paraId="65272801" w14:textId="77777777" w:rsidR="00B62A4E" w:rsidRPr="00B62A4E" w:rsidRDefault="00B62A4E" w:rsidP="00B62A4E">
      <w:pPr>
        <w:rPr>
          <w:lang w:val="nl-NL"/>
        </w:rPr>
      </w:pPr>
      <w:r w:rsidRPr="00B62A4E">
        <w:rPr>
          <w:lang w:val="nl-NL"/>
        </w:rPr>
        <w:t>Bij het bestuursbureau werk</w:t>
      </w:r>
      <w:r w:rsidR="00C444E3">
        <w:rPr>
          <w:lang w:val="nl-NL"/>
        </w:rPr>
        <w:t>t</w:t>
      </w:r>
      <w:r w:rsidRPr="00B62A4E">
        <w:rPr>
          <w:lang w:val="nl-NL"/>
        </w:rPr>
        <w:t xml:space="preserve"> een integraal risicomanager</w:t>
      </w:r>
      <w:r w:rsidR="00C444E3">
        <w:rPr>
          <w:lang w:val="nl-NL"/>
        </w:rPr>
        <w:t xml:space="preserve">. Het fonds heeft daarnaast een externe compliance officer aangesteld. </w:t>
      </w:r>
      <w:r w:rsidRPr="00B62A4E">
        <w:rPr>
          <w:lang w:val="nl-NL"/>
        </w:rPr>
        <w:t xml:space="preserve"> </w:t>
      </w:r>
      <w:r w:rsidR="00C444E3">
        <w:rPr>
          <w:lang w:val="nl-NL"/>
        </w:rPr>
        <w:t>B</w:t>
      </w:r>
      <w:r w:rsidRPr="00B62A4E">
        <w:rPr>
          <w:lang w:val="nl-NL"/>
        </w:rPr>
        <w:t xml:space="preserve">eiden </w:t>
      </w:r>
      <w:r w:rsidR="00C444E3">
        <w:rPr>
          <w:lang w:val="nl-NL"/>
        </w:rPr>
        <w:t xml:space="preserve">vervullen </w:t>
      </w:r>
      <w:r w:rsidR="00144557">
        <w:rPr>
          <w:lang w:val="nl-NL"/>
        </w:rPr>
        <w:t xml:space="preserve">ze </w:t>
      </w:r>
      <w:r w:rsidRPr="00B62A4E">
        <w:rPr>
          <w:lang w:val="nl-NL"/>
        </w:rPr>
        <w:t>een rol in de borging van de beheersing van de integriteitsrisico’s en de daarmee samenhangende beleidsreglementen, te weten:</w:t>
      </w:r>
    </w:p>
    <w:p w14:paraId="2A369EAF" w14:textId="77777777" w:rsidR="00B62A4E" w:rsidRPr="00613B0D" w:rsidRDefault="0023776C" w:rsidP="001E699B">
      <w:pPr>
        <w:pStyle w:val="Lijstalinea"/>
        <w:numPr>
          <w:ilvl w:val="0"/>
          <w:numId w:val="11"/>
        </w:numPr>
        <w:rPr>
          <w:lang w:val="nl-NL"/>
        </w:rPr>
      </w:pPr>
      <w:r>
        <w:rPr>
          <w:lang w:val="nl-NL"/>
        </w:rPr>
        <w:t>H</w:t>
      </w:r>
      <w:r w:rsidR="00B62A4E" w:rsidRPr="00613B0D">
        <w:rPr>
          <w:lang w:val="nl-NL"/>
        </w:rPr>
        <w:t>et integriteitsbeleid</w:t>
      </w:r>
      <w:r w:rsidR="00EC4665">
        <w:rPr>
          <w:lang w:val="nl-NL"/>
        </w:rPr>
        <w:t>.</w:t>
      </w:r>
    </w:p>
    <w:p w14:paraId="0C725DC5" w14:textId="77777777" w:rsidR="00B62A4E" w:rsidRPr="00613B0D" w:rsidRDefault="0023776C" w:rsidP="001E699B">
      <w:pPr>
        <w:pStyle w:val="Lijstalinea"/>
        <w:numPr>
          <w:ilvl w:val="0"/>
          <w:numId w:val="11"/>
        </w:numPr>
        <w:rPr>
          <w:lang w:val="nl-NL"/>
        </w:rPr>
      </w:pPr>
      <w:r>
        <w:rPr>
          <w:lang w:val="nl-NL"/>
        </w:rPr>
        <w:t>D</w:t>
      </w:r>
      <w:r w:rsidR="00B62A4E" w:rsidRPr="00613B0D">
        <w:rPr>
          <w:lang w:val="nl-NL"/>
        </w:rPr>
        <w:t>e gedragscode</w:t>
      </w:r>
      <w:r w:rsidR="00EC4665">
        <w:rPr>
          <w:lang w:val="nl-NL"/>
        </w:rPr>
        <w:t>.</w:t>
      </w:r>
    </w:p>
    <w:p w14:paraId="1A83F8E7" w14:textId="77777777" w:rsidR="00B62A4E" w:rsidRPr="00613B0D" w:rsidRDefault="0023776C" w:rsidP="001E699B">
      <w:pPr>
        <w:pStyle w:val="Lijstalinea"/>
        <w:numPr>
          <w:ilvl w:val="0"/>
          <w:numId w:val="11"/>
        </w:numPr>
        <w:rPr>
          <w:lang w:val="nl-NL"/>
        </w:rPr>
      </w:pPr>
      <w:r>
        <w:rPr>
          <w:lang w:val="nl-NL"/>
        </w:rPr>
        <w:t>D</w:t>
      </w:r>
      <w:r w:rsidR="00B62A4E" w:rsidRPr="00613B0D">
        <w:rPr>
          <w:lang w:val="nl-NL"/>
        </w:rPr>
        <w:t>e klokkenluidersregeling</w:t>
      </w:r>
      <w:r w:rsidR="00EC4665">
        <w:rPr>
          <w:lang w:val="nl-NL"/>
        </w:rPr>
        <w:t>.</w:t>
      </w:r>
    </w:p>
    <w:p w14:paraId="53F08172" w14:textId="4EAE6441" w:rsidR="00B62A4E" w:rsidRPr="00613B0D" w:rsidRDefault="0023776C" w:rsidP="001E699B">
      <w:pPr>
        <w:pStyle w:val="Lijstalinea"/>
        <w:numPr>
          <w:ilvl w:val="0"/>
          <w:numId w:val="11"/>
        </w:numPr>
        <w:rPr>
          <w:lang w:val="nl-NL"/>
        </w:rPr>
      </w:pPr>
      <w:r>
        <w:rPr>
          <w:lang w:val="nl-NL"/>
        </w:rPr>
        <w:t>D</w:t>
      </w:r>
      <w:r w:rsidR="00B62A4E" w:rsidRPr="00613B0D">
        <w:rPr>
          <w:lang w:val="nl-NL"/>
        </w:rPr>
        <w:t>e incidentenregeling</w:t>
      </w:r>
      <w:r w:rsidR="00EC4665">
        <w:rPr>
          <w:lang w:val="nl-NL"/>
        </w:rPr>
        <w:t>.</w:t>
      </w:r>
    </w:p>
    <w:p w14:paraId="4CA2CFD9" w14:textId="4FD28B0C" w:rsidR="00B62A4E" w:rsidRPr="00B62A4E" w:rsidRDefault="00B62A4E" w:rsidP="00B62A4E">
      <w:pPr>
        <w:rPr>
          <w:lang w:val="nl-NL"/>
        </w:rPr>
      </w:pPr>
      <w:r w:rsidRPr="00B62A4E">
        <w:rPr>
          <w:lang w:val="nl-NL"/>
        </w:rPr>
        <w:t xml:space="preserve">Onder integriteitsrisico verstaat </w:t>
      </w:r>
      <w:r w:rsidR="002852B2">
        <w:rPr>
          <w:lang w:val="nl-NL"/>
        </w:rPr>
        <w:t xml:space="preserve">ons </w:t>
      </w:r>
      <w:r w:rsidR="001B2EC0">
        <w:rPr>
          <w:lang w:val="nl-NL"/>
        </w:rPr>
        <w:t>fonds</w:t>
      </w:r>
      <w:r w:rsidRPr="00B62A4E">
        <w:rPr>
          <w:lang w:val="nl-NL"/>
        </w:rPr>
        <w:t xml:space="preserve"> het </w:t>
      </w:r>
      <w:r w:rsidR="00555731">
        <w:rPr>
          <w:lang w:val="nl-NL"/>
        </w:rPr>
        <w:t>risico van</w:t>
      </w:r>
      <w:r w:rsidRPr="00B62A4E">
        <w:rPr>
          <w:lang w:val="nl-NL"/>
        </w:rPr>
        <w:t xml:space="preserve"> aantasting van de reputatie alsmede een bestaande of toekomstige bedreiging van het pensioenvermogen of het resultaat van </w:t>
      </w:r>
      <w:r w:rsidR="00D5138A">
        <w:rPr>
          <w:lang w:val="nl-NL"/>
        </w:rPr>
        <w:t>ons</w:t>
      </w:r>
      <w:r w:rsidR="00D5138A" w:rsidRPr="00B62A4E">
        <w:rPr>
          <w:lang w:val="nl-NL"/>
        </w:rPr>
        <w:t xml:space="preserve"> </w:t>
      </w:r>
      <w:r w:rsidRPr="00B62A4E">
        <w:rPr>
          <w:lang w:val="nl-NL"/>
        </w:rPr>
        <w:t xml:space="preserve">fonds als gevolg van een ontoereikende naleving van (toezichts-)wet- en regelgeving. </w:t>
      </w:r>
    </w:p>
    <w:p w14:paraId="1D0CA514" w14:textId="77777777" w:rsidR="005737AE" w:rsidRDefault="005737AE" w:rsidP="00B62A4E">
      <w:pPr>
        <w:rPr>
          <w:lang w:val="nl-NL"/>
        </w:rPr>
      </w:pPr>
    </w:p>
    <w:p w14:paraId="0925C3AA" w14:textId="77777777" w:rsidR="00B62A4E" w:rsidRPr="00B62A4E" w:rsidRDefault="00B62A4E" w:rsidP="00B62A4E">
      <w:pPr>
        <w:rPr>
          <w:lang w:val="nl-NL"/>
        </w:rPr>
      </w:pPr>
      <w:r w:rsidRPr="00B62A4E">
        <w:rPr>
          <w:lang w:val="nl-NL"/>
        </w:rPr>
        <w:t xml:space="preserve">De integriteitsrisico’s kunnen onder andere voortkomen uit: </w:t>
      </w:r>
    </w:p>
    <w:p w14:paraId="08D00A9B" w14:textId="77777777" w:rsidR="00B62A4E" w:rsidRPr="00613B0D" w:rsidRDefault="0023776C" w:rsidP="001E699B">
      <w:pPr>
        <w:pStyle w:val="Lijstalinea"/>
        <w:numPr>
          <w:ilvl w:val="0"/>
          <w:numId w:val="12"/>
        </w:numPr>
        <w:rPr>
          <w:lang w:val="nl-NL"/>
        </w:rPr>
      </w:pPr>
      <w:r>
        <w:rPr>
          <w:lang w:val="nl-NL"/>
        </w:rPr>
        <w:t>B</w:t>
      </w:r>
      <w:r w:rsidR="00B62A4E" w:rsidRPr="00613B0D">
        <w:rPr>
          <w:lang w:val="nl-NL"/>
        </w:rPr>
        <w:t>elangenverstrengeling</w:t>
      </w:r>
      <w:r w:rsidR="00EC4665">
        <w:rPr>
          <w:lang w:val="nl-NL"/>
        </w:rPr>
        <w:t>.</w:t>
      </w:r>
      <w:r w:rsidR="00B62A4E" w:rsidRPr="00613B0D">
        <w:rPr>
          <w:lang w:val="nl-NL"/>
        </w:rPr>
        <w:t xml:space="preserve"> </w:t>
      </w:r>
    </w:p>
    <w:p w14:paraId="3033987A" w14:textId="682DD675" w:rsidR="00B62A4E" w:rsidRPr="00613B0D" w:rsidRDefault="0023776C" w:rsidP="001E699B">
      <w:pPr>
        <w:pStyle w:val="Lijstalinea"/>
        <w:numPr>
          <w:ilvl w:val="0"/>
          <w:numId w:val="12"/>
        </w:numPr>
        <w:rPr>
          <w:lang w:val="nl-NL"/>
        </w:rPr>
      </w:pPr>
      <w:r>
        <w:rPr>
          <w:lang w:val="nl-NL"/>
        </w:rPr>
        <w:t>B</w:t>
      </w:r>
      <w:r w:rsidR="00B62A4E" w:rsidRPr="00613B0D">
        <w:rPr>
          <w:lang w:val="nl-NL"/>
        </w:rPr>
        <w:t>enadeling van derden</w:t>
      </w:r>
      <w:r w:rsidR="00EC4665">
        <w:rPr>
          <w:lang w:val="nl-NL"/>
        </w:rPr>
        <w:t>.</w:t>
      </w:r>
    </w:p>
    <w:p w14:paraId="466D54B1" w14:textId="77777777" w:rsidR="00B62A4E" w:rsidRPr="00613B0D" w:rsidRDefault="0023776C" w:rsidP="001E699B">
      <w:pPr>
        <w:pStyle w:val="Lijstalinea"/>
        <w:numPr>
          <w:ilvl w:val="0"/>
          <w:numId w:val="12"/>
        </w:numPr>
        <w:rPr>
          <w:lang w:val="nl-NL"/>
        </w:rPr>
      </w:pPr>
      <w:r>
        <w:rPr>
          <w:lang w:val="nl-NL"/>
        </w:rPr>
        <w:t>F</w:t>
      </w:r>
      <w:r w:rsidR="00B62A4E" w:rsidRPr="00613B0D">
        <w:rPr>
          <w:lang w:val="nl-NL"/>
        </w:rPr>
        <w:t>raude</w:t>
      </w:r>
      <w:r w:rsidR="00EC4665">
        <w:rPr>
          <w:lang w:val="nl-NL"/>
        </w:rPr>
        <w:t>.</w:t>
      </w:r>
    </w:p>
    <w:p w14:paraId="6B56D201" w14:textId="77777777" w:rsidR="00B62A4E" w:rsidRPr="00613B0D" w:rsidRDefault="0023776C" w:rsidP="001E699B">
      <w:pPr>
        <w:pStyle w:val="Lijstalinea"/>
        <w:numPr>
          <w:ilvl w:val="0"/>
          <w:numId w:val="12"/>
        </w:numPr>
        <w:rPr>
          <w:lang w:val="nl-NL"/>
        </w:rPr>
      </w:pPr>
      <w:r>
        <w:rPr>
          <w:lang w:val="nl-NL"/>
        </w:rPr>
        <w:t>V</w:t>
      </w:r>
      <w:r w:rsidR="00B62A4E" w:rsidRPr="00613B0D">
        <w:rPr>
          <w:lang w:val="nl-NL"/>
        </w:rPr>
        <w:t>oorwetenschap</w:t>
      </w:r>
      <w:r w:rsidR="00EC4665">
        <w:rPr>
          <w:lang w:val="nl-NL"/>
        </w:rPr>
        <w:t>.</w:t>
      </w:r>
      <w:r w:rsidR="00B62A4E" w:rsidRPr="00613B0D">
        <w:rPr>
          <w:lang w:val="nl-NL"/>
        </w:rPr>
        <w:t xml:space="preserve"> </w:t>
      </w:r>
    </w:p>
    <w:p w14:paraId="7CC36A0B" w14:textId="1F24ED34" w:rsidR="00B62A4E" w:rsidRPr="00613B0D" w:rsidRDefault="00006D27" w:rsidP="001E699B">
      <w:pPr>
        <w:pStyle w:val="Lijstalinea"/>
        <w:numPr>
          <w:ilvl w:val="0"/>
          <w:numId w:val="12"/>
        </w:numPr>
        <w:rPr>
          <w:lang w:val="nl-NL"/>
        </w:rPr>
      </w:pPr>
      <w:r>
        <w:rPr>
          <w:lang w:val="nl-NL"/>
        </w:rPr>
        <w:t>Onoorbaar</w:t>
      </w:r>
      <w:r w:rsidR="00613B0D">
        <w:rPr>
          <w:lang w:val="nl-NL"/>
        </w:rPr>
        <w:t xml:space="preserve"> handelen</w:t>
      </w:r>
      <w:r w:rsidR="00EC4665">
        <w:rPr>
          <w:lang w:val="nl-NL"/>
        </w:rPr>
        <w:t>.</w:t>
      </w:r>
    </w:p>
    <w:p w14:paraId="6FC82799" w14:textId="77777777" w:rsidR="00B62A4E" w:rsidRPr="00B62A4E" w:rsidRDefault="00B62A4E" w:rsidP="00B62A4E">
      <w:pPr>
        <w:rPr>
          <w:lang w:val="nl-NL"/>
        </w:rPr>
      </w:pPr>
      <w:r w:rsidRPr="00B62A4E">
        <w:rPr>
          <w:lang w:val="nl-NL"/>
        </w:rPr>
        <w:t xml:space="preserve">De integriteitsrisico’s worden op een systematische wijze geanalyseerd. Aan de hand van de uitkomsten van de risicoanalyse zijn beheersmaatregelen getroffen. De beheersmaatregelen en de wijze waarop de monitoring plaatsvindt zijn in het integriteitsbeleid beschreven. </w:t>
      </w:r>
    </w:p>
    <w:p w14:paraId="6CA3FF4E" w14:textId="77777777" w:rsidR="00B62A4E" w:rsidRPr="00B62A4E" w:rsidRDefault="00B62A4E" w:rsidP="00B62A4E">
      <w:pPr>
        <w:rPr>
          <w:lang w:val="nl-NL"/>
        </w:rPr>
      </w:pPr>
    </w:p>
    <w:p w14:paraId="6A8654BC" w14:textId="5B2D27D2" w:rsidR="00613B0D" w:rsidRDefault="00B62A4E" w:rsidP="00B62A4E">
      <w:pPr>
        <w:rPr>
          <w:lang w:val="nl-NL"/>
        </w:rPr>
      </w:pPr>
      <w:r w:rsidRPr="00B62A4E">
        <w:rPr>
          <w:lang w:val="nl-NL"/>
        </w:rPr>
        <w:t xml:space="preserve">In de gedragscode zijn regels en richtlijnen vastgesteld ter voorkoming van belangenconflicten tussen het zakelijk belang en privé-belangen van verbonden personen bij </w:t>
      </w:r>
      <w:r w:rsidR="00D5138A">
        <w:rPr>
          <w:lang w:val="nl-NL"/>
        </w:rPr>
        <w:t>ons</w:t>
      </w:r>
      <w:r w:rsidR="00D5138A" w:rsidRPr="00B62A4E">
        <w:rPr>
          <w:lang w:val="nl-NL"/>
        </w:rPr>
        <w:t xml:space="preserve"> </w:t>
      </w:r>
      <w:r w:rsidRPr="00B62A4E">
        <w:rPr>
          <w:lang w:val="nl-NL"/>
        </w:rPr>
        <w:t>fonds en ter voorkoming van misbruik van vertrouwelijke informatie. Tevens zijn daarin richtlijnen opgenomen voor het omgaan met uitnodigingen en geschenken van zakelijke relaties en met privé-transacties. In de incidentenregeling is beschreven op welke wijze een (vermoeden van een) incident kan worden gemeld en de wijze waarop wordt omgegaan met en d</w:t>
      </w:r>
      <w:r w:rsidR="00613B0D">
        <w:rPr>
          <w:lang w:val="nl-NL"/>
        </w:rPr>
        <w:t>e vastlegging van het incident.</w:t>
      </w:r>
    </w:p>
    <w:p w14:paraId="3E6DA4D0" w14:textId="77777777" w:rsidR="00B62A4E" w:rsidRPr="00B62A4E" w:rsidRDefault="00B62A4E" w:rsidP="00B62A4E">
      <w:pPr>
        <w:rPr>
          <w:lang w:val="nl-NL"/>
        </w:rPr>
      </w:pPr>
      <w:r w:rsidRPr="00B62A4E">
        <w:rPr>
          <w:lang w:val="nl-NL"/>
        </w:rPr>
        <w:t>In de klokkenluidersregeling is beschreven hoe een misstand, al dan niet anoniem, kan worden gemeld.</w:t>
      </w:r>
    </w:p>
    <w:p w14:paraId="0F58845A" w14:textId="77777777" w:rsidR="00B62A4E" w:rsidRPr="00B62A4E" w:rsidRDefault="00B62A4E" w:rsidP="00B62A4E">
      <w:pPr>
        <w:rPr>
          <w:lang w:val="nl-NL"/>
        </w:rPr>
      </w:pPr>
    </w:p>
    <w:p w14:paraId="51DA1A6E" w14:textId="146AE318" w:rsidR="00B62A4E" w:rsidRPr="00B62A4E" w:rsidRDefault="00B62A4E" w:rsidP="00B62A4E">
      <w:pPr>
        <w:rPr>
          <w:lang w:val="nl-NL"/>
        </w:rPr>
      </w:pPr>
      <w:r w:rsidRPr="00B62A4E">
        <w:rPr>
          <w:lang w:val="nl-NL"/>
        </w:rPr>
        <w:t xml:space="preserve">De hierboven genoemde regelingen hebben als doel het waarborgen en handhaven van het vertrouwen van belanghebbenden in </w:t>
      </w:r>
      <w:r w:rsidR="002852B2">
        <w:rPr>
          <w:lang w:val="nl-NL"/>
        </w:rPr>
        <w:t xml:space="preserve">ons </w:t>
      </w:r>
      <w:r w:rsidRPr="00B62A4E">
        <w:rPr>
          <w:lang w:val="nl-NL"/>
        </w:rPr>
        <w:t xml:space="preserve">fonds, alsmede het voorkomen dat het fonds betrokken raakt bij handelingen die in strijd met de wet zijn of die maatschappelijk onbetamelijk zijn. </w:t>
      </w:r>
    </w:p>
    <w:p w14:paraId="3734CE78" w14:textId="77777777" w:rsidR="00B62A4E" w:rsidRPr="00B62A4E" w:rsidRDefault="00B62A4E" w:rsidP="00B62A4E">
      <w:pPr>
        <w:rPr>
          <w:lang w:val="nl-NL"/>
        </w:rPr>
      </w:pPr>
    </w:p>
    <w:p w14:paraId="7FE1A9A2" w14:textId="6396C4B1" w:rsidR="00B62A4E" w:rsidRDefault="00D5138A" w:rsidP="00B62A4E">
      <w:pPr>
        <w:rPr>
          <w:lang w:val="nl-NL"/>
        </w:rPr>
      </w:pPr>
      <w:r>
        <w:rPr>
          <w:lang w:val="nl-NL"/>
        </w:rPr>
        <w:t>Ons fonds</w:t>
      </w:r>
      <w:r w:rsidR="00B62A4E" w:rsidRPr="00B62A4E">
        <w:rPr>
          <w:lang w:val="nl-NL"/>
        </w:rPr>
        <w:t xml:space="preserve"> heeft een klachtenregeling waaronder verzekerden klachten en geschillen kunnen melde</w:t>
      </w:r>
      <w:r w:rsidR="00613B0D">
        <w:rPr>
          <w:lang w:val="nl-NL"/>
        </w:rPr>
        <w:t>n.</w:t>
      </w:r>
    </w:p>
    <w:p w14:paraId="0F35961A" w14:textId="77777777" w:rsidR="00613B0D" w:rsidRPr="00B62A4E" w:rsidRDefault="00613B0D" w:rsidP="00B62A4E">
      <w:pPr>
        <w:rPr>
          <w:lang w:val="nl-NL"/>
        </w:rPr>
      </w:pPr>
    </w:p>
    <w:p w14:paraId="15CC2CCE" w14:textId="77777777" w:rsidR="00B62A4E" w:rsidRPr="00B62A4E" w:rsidRDefault="00B62A4E" w:rsidP="00613B0D">
      <w:pPr>
        <w:pStyle w:val="Kop3"/>
        <w:spacing w:after="240"/>
        <w:rPr>
          <w:rFonts w:hint="eastAsia"/>
          <w:lang w:val="nl-NL"/>
        </w:rPr>
      </w:pPr>
      <w:bookmarkStart w:id="21" w:name="_Toc231804747"/>
      <w:r w:rsidRPr="00B62A4E">
        <w:rPr>
          <w:lang w:val="nl-NL"/>
        </w:rPr>
        <w:t>Verantwoordingsorgaan</w:t>
      </w:r>
      <w:bookmarkEnd w:id="21"/>
    </w:p>
    <w:p w14:paraId="54DF87A4" w14:textId="2A04A440" w:rsidR="00B62A4E" w:rsidRPr="00B62A4E" w:rsidRDefault="00B62A4E" w:rsidP="00B62A4E">
      <w:pPr>
        <w:rPr>
          <w:lang w:val="nl-NL"/>
        </w:rPr>
      </w:pPr>
      <w:r w:rsidRPr="00B62A4E">
        <w:rPr>
          <w:lang w:val="nl-NL"/>
        </w:rPr>
        <w:t xml:space="preserve">Het bestuur van </w:t>
      </w:r>
      <w:r w:rsidR="00D5138A">
        <w:rPr>
          <w:lang w:val="nl-NL"/>
        </w:rPr>
        <w:t>ons</w:t>
      </w:r>
      <w:r w:rsidR="00D5138A" w:rsidRPr="00B62A4E">
        <w:rPr>
          <w:lang w:val="nl-NL"/>
        </w:rPr>
        <w:t xml:space="preserve"> </w:t>
      </w:r>
      <w:r w:rsidRPr="00B62A4E">
        <w:rPr>
          <w:lang w:val="nl-NL"/>
        </w:rPr>
        <w:t xml:space="preserve">fonds legt verantwoording af aan het verantwoordingsorgaan over het beleid en de wijze waarop het beleid wordt uitgevoerd. Daarnaast heeft het verantwoordingsorgaan een adviserende rol (zie taken en bevoegdheden). </w:t>
      </w:r>
    </w:p>
    <w:p w14:paraId="1E63903F" w14:textId="77777777" w:rsidR="00B62A4E" w:rsidRPr="00B62A4E" w:rsidRDefault="00B62A4E" w:rsidP="00B62A4E">
      <w:pPr>
        <w:rPr>
          <w:lang w:val="nl-NL"/>
        </w:rPr>
      </w:pPr>
    </w:p>
    <w:p w14:paraId="6CA1896A" w14:textId="77777777" w:rsidR="00B62A4E" w:rsidRPr="00613B0D" w:rsidRDefault="00B62A4E" w:rsidP="00B62A4E">
      <w:pPr>
        <w:rPr>
          <w:i/>
          <w:lang w:val="nl-NL"/>
        </w:rPr>
      </w:pPr>
      <w:r w:rsidRPr="00613B0D">
        <w:rPr>
          <w:i/>
          <w:lang w:val="nl-NL"/>
        </w:rPr>
        <w:t>Samenstelling en zittingstermijn</w:t>
      </w:r>
    </w:p>
    <w:p w14:paraId="0C21A11F" w14:textId="77777777" w:rsidR="00B62A4E" w:rsidRPr="00B62A4E" w:rsidRDefault="00B62A4E" w:rsidP="00B62A4E">
      <w:pPr>
        <w:rPr>
          <w:lang w:val="nl-NL"/>
        </w:rPr>
      </w:pPr>
      <w:r w:rsidRPr="00B62A4E">
        <w:rPr>
          <w:lang w:val="nl-NL"/>
        </w:rPr>
        <w:t>Het verantwoordingsorgaan bestaat uit vier leden:</w:t>
      </w:r>
    </w:p>
    <w:p w14:paraId="012ECE40" w14:textId="77777777" w:rsidR="00B62A4E" w:rsidRPr="00613B0D" w:rsidRDefault="0023776C" w:rsidP="001E699B">
      <w:pPr>
        <w:pStyle w:val="Lijstalinea"/>
        <w:numPr>
          <w:ilvl w:val="0"/>
          <w:numId w:val="13"/>
        </w:numPr>
        <w:rPr>
          <w:lang w:val="nl-NL"/>
        </w:rPr>
      </w:pPr>
      <w:r>
        <w:rPr>
          <w:lang w:val="nl-NL"/>
        </w:rPr>
        <w:t>T</w:t>
      </w:r>
      <w:r w:rsidR="00B62A4E" w:rsidRPr="00613B0D">
        <w:rPr>
          <w:lang w:val="nl-NL"/>
        </w:rPr>
        <w:t>wee leden vertegenwoordigen de deelnemers van het fonds</w:t>
      </w:r>
      <w:r>
        <w:rPr>
          <w:lang w:val="nl-NL"/>
        </w:rPr>
        <w:t>.</w:t>
      </w:r>
    </w:p>
    <w:p w14:paraId="7BAB1243" w14:textId="6DE69060" w:rsidR="00B62A4E" w:rsidRPr="00613B0D" w:rsidRDefault="0023776C" w:rsidP="001E699B">
      <w:pPr>
        <w:pStyle w:val="Lijstalinea"/>
        <w:numPr>
          <w:ilvl w:val="0"/>
          <w:numId w:val="13"/>
        </w:numPr>
        <w:rPr>
          <w:lang w:val="nl-NL"/>
        </w:rPr>
      </w:pPr>
      <w:r>
        <w:rPr>
          <w:lang w:val="nl-NL"/>
        </w:rPr>
        <w:t>T</w:t>
      </w:r>
      <w:r w:rsidR="00B62A4E" w:rsidRPr="00613B0D">
        <w:rPr>
          <w:lang w:val="nl-NL"/>
        </w:rPr>
        <w:t xml:space="preserve">wee leden </w:t>
      </w:r>
      <w:r w:rsidR="00613B0D">
        <w:rPr>
          <w:lang w:val="nl-NL"/>
        </w:rPr>
        <w:t>vertegenwoordigen de werkgever.</w:t>
      </w:r>
    </w:p>
    <w:p w14:paraId="6CE88A33" w14:textId="15FC7FCD" w:rsidR="00B62A4E" w:rsidRPr="00B62A4E" w:rsidRDefault="00B62A4E" w:rsidP="00B62A4E">
      <w:pPr>
        <w:rPr>
          <w:lang w:val="nl-NL"/>
        </w:rPr>
      </w:pPr>
      <w:r w:rsidRPr="00B62A4E">
        <w:rPr>
          <w:lang w:val="nl-NL"/>
        </w:rPr>
        <w:lastRenderedPageBreak/>
        <w:t xml:space="preserve">De werkgever </w:t>
      </w:r>
      <w:r w:rsidR="00C444E3">
        <w:rPr>
          <w:lang w:val="nl-NL"/>
        </w:rPr>
        <w:t xml:space="preserve">draagt de leden die de werkgever vertegenwoordigen voor, het bestuur benoemt deze. </w:t>
      </w:r>
      <w:r w:rsidR="007441C1">
        <w:rPr>
          <w:lang w:val="nl-NL"/>
        </w:rPr>
        <w:t>L</w:t>
      </w:r>
      <w:r w:rsidRPr="00B62A4E">
        <w:rPr>
          <w:lang w:val="nl-NL"/>
        </w:rPr>
        <w:t xml:space="preserve">eden die de deelnemers vertegenwoordigen worden middels (rechtstreekse) verkiezingen door de deelnemers gekozen en vervolgens door het bestuur benoemd. Leden van het verantwoordingsorgaan kunnen geen lid zijn van het bestuur of van de </w:t>
      </w:r>
      <w:r w:rsidR="00C444E3">
        <w:rPr>
          <w:lang w:val="nl-NL"/>
        </w:rPr>
        <w:t>raad van toezicht</w:t>
      </w:r>
      <w:r w:rsidRPr="00B62A4E">
        <w:rPr>
          <w:lang w:val="nl-NL"/>
        </w:rPr>
        <w:t xml:space="preserve"> van het fonds.</w:t>
      </w:r>
    </w:p>
    <w:p w14:paraId="300AC7A1" w14:textId="77777777" w:rsidR="00B62A4E" w:rsidRPr="00B62A4E" w:rsidRDefault="00B62A4E" w:rsidP="00B62A4E">
      <w:pPr>
        <w:rPr>
          <w:lang w:val="nl-NL"/>
        </w:rPr>
      </w:pPr>
    </w:p>
    <w:p w14:paraId="28994421" w14:textId="77777777" w:rsidR="00C444E3" w:rsidRPr="00B62A4E" w:rsidRDefault="00C444E3" w:rsidP="00C444E3">
      <w:pPr>
        <w:rPr>
          <w:lang w:val="nl-NL"/>
        </w:rPr>
      </w:pPr>
      <w:r w:rsidRPr="00961CAB">
        <w:rPr>
          <w:lang w:val="nl-NL"/>
        </w:rPr>
        <w:t>Indien de onde</w:t>
      </w:r>
      <w:r>
        <w:rPr>
          <w:lang w:val="nl-NL"/>
        </w:rPr>
        <w:t>rlinge getalsverhouding tussen pensioengerechtigden en d</w:t>
      </w:r>
      <w:r w:rsidRPr="00961CAB">
        <w:rPr>
          <w:lang w:val="nl-NL"/>
        </w:rPr>
        <w:t xml:space="preserve">eelnemers daartoe aanleiding geeft, </w:t>
      </w:r>
      <w:r>
        <w:rPr>
          <w:lang w:val="nl-NL"/>
        </w:rPr>
        <w:t xml:space="preserve">treedt of </w:t>
      </w:r>
      <w:r w:rsidR="00BB15F6">
        <w:rPr>
          <w:lang w:val="nl-NL"/>
        </w:rPr>
        <w:t>tre</w:t>
      </w:r>
      <w:r w:rsidR="00BB15F6">
        <w:rPr>
          <w:lang w:val="nl-NL"/>
        </w:rPr>
        <w:softHyphen/>
        <w:t>den vertegenwoordigers van p</w:t>
      </w:r>
      <w:r w:rsidRPr="00961CAB">
        <w:rPr>
          <w:lang w:val="nl-NL"/>
        </w:rPr>
        <w:t>en</w:t>
      </w:r>
      <w:r>
        <w:rPr>
          <w:lang w:val="nl-NL"/>
        </w:rPr>
        <w:t>sioengerechtig</w:t>
      </w:r>
      <w:r>
        <w:rPr>
          <w:lang w:val="nl-NL"/>
        </w:rPr>
        <w:softHyphen/>
        <w:t>den toe tot het v</w:t>
      </w:r>
      <w:r w:rsidRPr="00961CAB">
        <w:rPr>
          <w:lang w:val="nl-NL"/>
        </w:rPr>
        <w:t>erantwoordingsorgaan</w:t>
      </w:r>
      <w:r>
        <w:rPr>
          <w:lang w:val="nl-NL"/>
        </w:rPr>
        <w:t>. Over de exacte invulling van deze getalsverhouding zullen het bestuur en het verantwoordingsorgaan te zijner tijd afspraken maken.</w:t>
      </w:r>
    </w:p>
    <w:p w14:paraId="1AD77B42" w14:textId="77777777" w:rsidR="00B62A4E" w:rsidRPr="00B62A4E" w:rsidRDefault="00B62A4E" w:rsidP="00B62A4E">
      <w:pPr>
        <w:rPr>
          <w:lang w:val="nl-NL"/>
        </w:rPr>
      </w:pPr>
    </w:p>
    <w:p w14:paraId="57A06193" w14:textId="44FB1E05" w:rsidR="00862005" w:rsidRDefault="00B62A4E" w:rsidP="00862005">
      <w:pPr>
        <w:rPr>
          <w:lang w:val="nl-NL"/>
        </w:rPr>
      </w:pPr>
      <w:r w:rsidRPr="00B62A4E">
        <w:rPr>
          <w:lang w:val="nl-NL"/>
        </w:rPr>
        <w:t xml:space="preserve">De zittingstermijn van de leden van het verantwoordingsorgaan bedraagt vier jaar. Een lid van het verantwoordingsorgaan kan </w:t>
      </w:r>
      <w:r w:rsidR="00A366F7">
        <w:rPr>
          <w:lang w:val="nl-NL"/>
        </w:rPr>
        <w:t>twee</w:t>
      </w:r>
      <w:r w:rsidRPr="00B62A4E">
        <w:rPr>
          <w:lang w:val="nl-NL"/>
        </w:rPr>
        <w:t>maal worden herbenoemd als vertegenwoordiger</w:t>
      </w:r>
      <w:r w:rsidR="009C6DF9">
        <w:rPr>
          <w:lang w:val="nl-NL"/>
        </w:rPr>
        <w:t>.</w:t>
      </w:r>
      <w:r w:rsidRPr="00B62A4E">
        <w:rPr>
          <w:lang w:val="nl-NL"/>
        </w:rPr>
        <w:t xml:space="preserve"> </w:t>
      </w:r>
    </w:p>
    <w:p w14:paraId="6EDEA544" w14:textId="77777777" w:rsidR="00B62A4E" w:rsidRPr="00B62A4E" w:rsidRDefault="00B62A4E" w:rsidP="00B62A4E">
      <w:pPr>
        <w:rPr>
          <w:lang w:val="nl-NL"/>
        </w:rPr>
      </w:pPr>
    </w:p>
    <w:p w14:paraId="6E770AFA" w14:textId="77777777" w:rsidR="00B62A4E" w:rsidRPr="00613B0D" w:rsidRDefault="00B62A4E" w:rsidP="00B62A4E">
      <w:pPr>
        <w:rPr>
          <w:i/>
          <w:lang w:val="nl-NL"/>
        </w:rPr>
      </w:pPr>
      <w:r w:rsidRPr="00613B0D">
        <w:rPr>
          <w:i/>
          <w:lang w:val="nl-NL"/>
        </w:rPr>
        <w:t xml:space="preserve">Taken en bevoegdheden </w:t>
      </w:r>
    </w:p>
    <w:p w14:paraId="67ECFA9A" w14:textId="77777777" w:rsidR="00B62A4E" w:rsidRPr="00B62A4E" w:rsidRDefault="00B62A4E" w:rsidP="00B62A4E">
      <w:pPr>
        <w:rPr>
          <w:lang w:val="nl-NL"/>
        </w:rPr>
      </w:pPr>
      <w:r w:rsidRPr="00B62A4E">
        <w:rPr>
          <w:lang w:val="nl-NL"/>
        </w:rPr>
        <w:t>Samengevat komen de taken en bevoegdheden van het verantwoordingsorgaan op het volgende neer. Het verantwoordingsorgaan:</w:t>
      </w:r>
    </w:p>
    <w:p w14:paraId="0956C170" w14:textId="0F1DFEF3" w:rsidR="00B62A4E" w:rsidRPr="00613B0D" w:rsidRDefault="0023776C" w:rsidP="001E699B">
      <w:pPr>
        <w:pStyle w:val="Lijstalinea"/>
        <w:numPr>
          <w:ilvl w:val="0"/>
          <w:numId w:val="14"/>
        </w:numPr>
        <w:rPr>
          <w:lang w:val="nl-NL"/>
        </w:rPr>
      </w:pPr>
      <w:r>
        <w:rPr>
          <w:lang w:val="nl-NL"/>
        </w:rPr>
        <w:t>H</w:t>
      </w:r>
      <w:r w:rsidR="00B62A4E" w:rsidRPr="00613B0D">
        <w:rPr>
          <w:lang w:val="nl-NL"/>
        </w:rPr>
        <w:t xml:space="preserve">eeft de bevoegdheid een oordeel te geven over het handelen van het bestuur aan de hand van het jaarverslag, de jaarrekening en andere informatie, waaronder de bevindingen van het intern toezicht (bij </w:t>
      </w:r>
      <w:r w:rsidR="00D5138A">
        <w:rPr>
          <w:lang w:val="nl-NL"/>
        </w:rPr>
        <w:t>ons</w:t>
      </w:r>
      <w:r w:rsidR="00D5138A" w:rsidRPr="00613B0D">
        <w:rPr>
          <w:lang w:val="nl-NL"/>
        </w:rPr>
        <w:t xml:space="preserve"> </w:t>
      </w:r>
      <w:r w:rsidR="00B62A4E" w:rsidRPr="00613B0D">
        <w:rPr>
          <w:lang w:val="nl-NL"/>
        </w:rPr>
        <w:t xml:space="preserve">fonds ingevuld door </w:t>
      </w:r>
      <w:r w:rsidR="00540D35">
        <w:rPr>
          <w:lang w:val="nl-NL"/>
        </w:rPr>
        <w:t>de raad van toezicht</w:t>
      </w:r>
      <w:r w:rsidR="00B62A4E" w:rsidRPr="00613B0D">
        <w:rPr>
          <w:lang w:val="nl-NL"/>
        </w:rPr>
        <w:t>), over het door het bestuur uitgevoerde beleid, evenals over beleidskeuzes voor de toekomst</w:t>
      </w:r>
      <w:r w:rsidR="00AC4096">
        <w:rPr>
          <w:lang w:val="nl-NL"/>
        </w:rPr>
        <w:t>, waaronder de keuzes die van invloed zijn op de uitvoeringskosten</w:t>
      </w:r>
      <w:r w:rsidR="00AC4096" w:rsidRPr="00347FCF">
        <w:rPr>
          <w:lang w:val="nl-NL"/>
        </w:rPr>
        <w:t xml:space="preserve">. </w:t>
      </w:r>
      <w:r w:rsidR="00AC4096">
        <w:rPr>
          <w:lang w:val="nl-NL"/>
        </w:rPr>
        <w:t>Het oordeel bevat in ieder geval een oordeel over de gemaakte uitvoeringskosten</w:t>
      </w:r>
      <w:r w:rsidR="00AD06AB">
        <w:rPr>
          <w:lang w:val="nl-NL"/>
        </w:rPr>
        <w:t>.</w:t>
      </w:r>
      <w:r w:rsidR="00B62A4E" w:rsidRPr="00613B0D">
        <w:rPr>
          <w:lang w:val="nl-NL"/>
        </w:rPr>
        <w:t xml:space="preserve"> Dit oordeel wordt, samen met de reactie van het bestuur daarop, bekend gemaakt en in het jaarverslag opgenomen.</w:t>
      </w:r>
    </w:p>
    <w:p w14:paraId="604790D8" w14:textId="77777777" w:rsidR="00B62A4E" w:rsidRPr="00613B0D" w:rsidRDefault="0023776C" w:rsidP="001E699B">
      <w:pPr>
        <w:pStyle w:val="Lijstalinea"/>
        <w:numPr>
          <w:ilvl w:val="0"/>
          <w:numId w:val="14"/>
        </w:numPr>
        <w:rPr>
          <w:lang w:val="nl-NL"/>
        </w:rPr>
      </w:pPr>
      <w:r>
        <w:rPr>
          <w:lang w:val="nl-NL"/>
        </w:rPr>
        <w:t>H</w:t>
      </w:r>
      <w:r w:rsidR="00B62A4E" w:rsidRPr="00613B0D">
        <w:rPr>
          <w:lang w:val="nl-NL"/>
        </w:rPr>
        <w:t xml:space="preserve">eeft recht op overleg met de </w:t>
      </w:r>
      <w:r w:rsidR="00540D35">
        <w:rPr>
          <w:lang w:val="nl-NL"/>
        </w:rPr>
        <w:t>raad van toezicht</w:t>
      </w:r>
      <w:r>
        <w:rPr>
          <w:lang w:val="nl-NL"/>
        </w:rPr>
        <w:t>.</w:t>
      </w:r>
    </w:p>
    <w:p w14:paraId="348CA049" w14:textId="77777777" w:rsidR="00B62A4E" w:rsidRPr="00613B0D" w:rsidRDefault="0023776C" w:rsidP="001E699B">
      <w:pPr>
        <w:pStyle w:val="Lijstalinea"/>
        <w:numPr>
          <w:ilvl w:val="0"/>
          <w:numId w:val="14"/>
        </w:numPr>
        <w:rPr>
          <w:lang w:val="nl-NL"/>
        </w:rPr>
      </w:pPr>
      <w:r>
        <w:rPr>
          <w:lang w:val="nl-NL"/>
        </w:rPr>
        <w:t>I</w:t>
      </w:r>
      <w:r w:rsidR="00B62A4E" w:rsidRPr="00613B0D">
        <w:rPr>
          <w:lang w:val="nl-NL"/>
        </w:rPr>
        <w:t>s bevoegd een deskundige te raadplegen indien dit redelijkerwijs noodzakelijk is voor de vervulling van zijn taak</w:t>
      </w:r>
      <w:r>
        <w:rPr>
          <w:lang w:val="nl-NL"/>
        </w:rPr>
        <w:t>.</w:t>
      </w:r>
      <w:r w:rsidR="00B62A4E" w:rsidRPr="00613B0D">
        <w:rPr>
          <w:lang w:val="nl-NL"/>
        </w:rPr>
        <w:t xml:space="preserve"> </w:t>
      </w:r>
    </w:p>
    <w:p w14:paraId="11EDE6FD" w14:textId="77777777" w:rsidR="00B62A4E" w:rsidRPr="00613B0D" w:rsidRDefault="0023776C" w:rsidP="001E699B">
      <w:pPr>
        <w:pStyle w:val="Lijstalinea"/>
        <w:numPr>
          <w:ilvl w:val="0"/>
          <w:numId w:val="14"/>
        </w:numPr>
        <w:rPr>
          <w:lang w:val="nl-NL"/>
        </w:rPr>
      </w:pPr>
      <w:r>
        <w:rPr>
          <w:lang w:val="nl-NL"/>
        </w:rPr>
        <w:t>W</w:t>
      </w:r>
      <w:r w:rsidR="00B62A4E" w:rsidRPr="00613B0D">
        <w:rPr>
          <w:lang w:val="nl-NL"/>
        </w:rPr>
        <w:t>ordt in de gelegenheid gesteld advies uit te brengen over:</w:t>
      </w:r>
    </w:p>
    <w:p w14:paraId="6EC342E9" w14:textId="77777777" w:rsidR="00B62A4E" w:rsidRPr="00613B0D" w:rsidRDefault="00845DF3" w:rsidP="00C6025F">
      <w:pPr>
        <w:pStyle w:val="Lijstalinea"/>
        <w:numPr>
          <w:ilvl w:val="0"/>
          <w:numId w:val="54"/>
        </w:numPr>
        <w:rPr>
          <w:lang w:val="nl-NL"/>
        </w:rPr>
      </w:pPr>
      <w:r>
        <w:rPr>
          <w:lang w:val="nl-NL"/>
        </w:rPr>
        <w:t>H</w:t>
      </w:r>
      <w:r w:rsidR="00B62A4E" w:rsidRPr="00613B0D">
        <w:rPr>
          <w:lang w:val="nl-NL"/>
        </w:rPr>
        <w:t>et beleid inzake beloningen</w:t>
      </w:r>
      <w:r>
        <w:rPr>
          <w:lang w:val="nl-NL"/>
        </w:rPr>
        <w:t>.</w:t>
      </w:r>
    </w:p>
    <w:p w14:paraId="53EADE07" w14:textId="77777777" w:rsidR="00B62A4E" w:rsidRDefault="00845DF3" w:rsidP="00C6025F">
      <w:pPr>
        <w:pStyle w:val="Lijstalinea"/>
        <w:numPr>
          <w:ilvl w:val="0"/>
          <w:numId w:val="54"/>
        </w:numPr>
        <w:rPr>
          <w:lang w:val="nl-NL"/>
        </w:rPr>
      </w:pPr>
      <w:r>
        <w:rPr>
          <w:lang w:val="nl-NL"/>
        </w:rPr>
        <w:t>D</w:t>
      </w:r>
      <w:r w:rsidR="00B62A4E" w:rsidRPr="00613B0D">
        <w:rPr>
          <w:lang w:val="nl-NL"/>
        </w:rPr>
        <w:t xml:space="preserve">e vorm en inrichting van </w:t>
      </w:r>
      <w:r w:rsidR="00540D35">
        <w:rPr>
          <w:lang w:val="nl-NL"/>
        </w:rPr>
        <w:t>het intern toezicht</w:t>
      </w:r>
      <w:r>
        <w:rPr>
          <w:lang w:val="nl-NL"/>
        </w:rPr>
        <w:t>.</w:t>
      </w:r>
    </w:p>
    <w:p w14:paraId="74549645" w14:textId="77777777" w:rsidR="00540D35" w:rsidRPr="00613B0D" w:rsidRDefault="00540D35" w:rsidP="00C6025F">
      <w:pPr>
        <w:pStyle w:val="Lijstalinea"/>
        <w:numPr>
          <w:ilvl w:val="0"/>
          <w:numId w:val="54"/>
        </w:numPr>
        <w:rPr>
          <w:lang w:val="nl-NL"/>
        </w:rPr>
      </w:pPr>
      <w:r>
        <w:rPr>
          <w:lang w:val="nl-NL"/>
        </w:rPr>
        <w:t>De profielschets voor de leden van de raad van toezicht.</w:t>
      </w:r>
    </w:p>
    <w:p w14:paraId="6C15CC33" w14:textId="77777777" w:rsidR="00B62A4E" w:rsidRPr="00613B0D" w:rsidRDefault="00845DF3" w:rsidP="00C6025F">
      <w:pPr>
        <w:pStyle w:val="Lijstalinea"/>
        <w:numPr>
          <w:ilvl w:val="0"/>
          <w:numId w:val="54"/>
        </w:numPr>
        <w:rPr>
          <w:lang w:val="nl-NL"/>
        </w:rPr>
      </w:pPr>
      <w:r>
        <w:rPr>
          <w:lang w:val="nl-NL"/>
        </w:rPr>
        <w:t>H</w:t>
      </w:r>
      <w:r w:rsidR="00B62A4E" w:rsidRPr="00613B0D">
        <w:rPr>
          <w:lang w:val="nl-NL"/>
        </w:rPr>
        <w:t xml:space="preserve">et vaststellen en wijzigen van de </w:t>
      </w:r>
      <w:r w:rsidR="00540D35">
        <w:rPr>
          <w:lang w:val="nl-NL"/>
        </w:rPr>
        <w:t xml:space="preserve">interne </w:t>
      </w:r>
      <w:r w:rsidR="00B62A4E" w:rsidRPr="00613B0D">
        <w:rPr>
          <w:lang w:val="nl-NL"/>
        </w:rPr>
        <w:t>klachten- en geschillenprocedure</w:t>
      </w:r>
      <w:r>
        <w:rPr>
          <w:lang w:val="nl-NL"/>
        </w:rPr>
        <w:t>.</w:t>
      </w:r>
    </w:p>
    <w:p w14:paraId="1B47B98A" w14:textId="77777777" w:rsidR="00B62A4E" w:rsidRPr="00613B0D" w:rsidRDefault="00845DF3" w:rsidP="00C6025F">
      <w:pPr>
        <w:pStyle w:val="Lijstalinea"/>
        <w:numPr>
          <w:ilvl w:val="0"/>
          <w:numId w:val="54"/>
        </w:numPr>
        <w:rPr>
          <w:lang w:val="nl-NL"/>
        </w:rPr>
      </w:pPr>
      <w:r>
        <w:rPr>
          <w:lang w:val="nl-NL"/>
        </w:rPr>
        <w:t>H</w:t>
      </w:r>
      <w:r w:rsidR="00B62A4E" w:rsidRPr="00613B0D">
        <w:rPr>
          <w:lang w:val="nl-NL"/>
        </w:rPr>
        <w:t>et vaststellen en wijzigen van het communicatie- en voorlichtingsbeleid</w:t>
      </w:r>
      <w:r>
        <w:rPr>
          <w:lang w:val="nl-NL"/>
        </w:rPr>
        <w:t>.</w:t>
      </w:r>
    </w:p>
    <w:p w14:paraId="29A5A419" w14:textId="0CCA5FA3" w:rsidR="00B62A4E" w:rsidRPr="00613B0D" w:rsidRDefault="00845DF3" w:rsidP="00C6025F">
      <w:pPr>
        <w:pStyle w:val="Lijstalinea"/>
        <w:numPr>
          <w:ilvl w:val="0"/>
          <w:numId w:val="54"/>
        </w:numPr>
        <w:rPr>
          <w:lang w:val="nl-NL"/>
        </w:rPr>
      </w:pPr>
      <w:r>
        <w:rPr>
          <w:lang w:val="nl-NL"/>
        </w:rPr>
        <w:t>G</w:t>
      </w:r>
      <w:r w:rsidR="00B62A4E" w:rsidRPr="00613B0D">
        <w:rPr>
          <w:lang w:val="nl-NL"/>
        </w:rPr>
        <w:t xml:space="preserve">ehele of gedeeltelijke overdracht van de verplichtingen van het fonds of de overname van verplichtingen door </w:t>
      </w:r>
      <w:r w:rsidR="00D5138A">
        <w:rPr>
          <w:lang w:val="nl-NL"/>
        </w:rPr>
        <w:t>ons</w:t>
      </w:r>
      <w:r w:rsidR="00D5138A" w:rsidRPr="00613B0D">
        <w:rPr>
          <w:lang w:val="nl-NL"/>
        </w:rPr>
        <w:t xml:space="preserve"> </w:t>
      </w:r>
      <w:r w:rsidR="00B62A4E" w:rsidRPr="00613B0D">
        <w:rPr>
          <w:lang w:val="nl-NL"/>
        </w:rPr>
        <w:t>fonds</w:t>
      </w:r>
      <w:r>
        <w:rPr>
          <w:lang w:val="nl-NL"/>
        </w:rPr>
        <w:t>.</w:t>
      </w:r>
    </w:p>
    <w:p w14:paraId="52951910" w14:textId="4AC39BE6" w:rsidR="00B62A4E" w:rsidRPr="00613B0D" w:rsidRDefault="00845DF3" w:rsidP="00C6025F">
      <w:pPr>
        <w:pStyle w:val="Lijstalinea"/>
        <w:numPr>
          <w:ilvl w:val="0"/>
          <w:numId w:val="54"/>
        </w:numPr>
        <w:rPr>
          <w:lang w:val="nl-NL"/>
        </w:rPr>
      </w:pPr>
      <w:r>
        <w:rPr>
          <w:lang w:val="nl-NL"/>
        </w:rPr>
        <w:t>L</w:t>
      </w:r>
      <w:r w:rsidR="00B62A4E" w:rsidRPr="00613B0D">
        <w:rPr>
          <w:lang w:val="nl-NL"/>
        </w:rPr>
        <w:t xml:space="preserve">iquidatie, fusie of splitsing van </w:t>
      </w:r>
      <w:r w:rsidR="00D5138A">
        <w:rPr>
          <w:lang w:val="nl-NL"/>
        </w:rPr>
        <w:t>ons</w:t>
      </w:r>
      <w:r w:rsidR="00D5138A" w:rsidRPr="00613B0D">
        <w:rPr>
          <w:lang w:val="nl-NL"/>
        </w:rPr>
        <w:t xml:space="preserve"> </w:t>
      </w:r>
      <w:r w:rsidR="00B62A4E" w:rsidRPr="00613B0D">
        <w:rPr>
          <w:lang w:val="nl-NL"/>
        </w:rPr>
        <w:t>fonds</w:t>
      </w:r>
      <w:r>
        <w:rPr>
          <w:lang w:val="nl-NL"/>
        </w:rPr>
        <w:t>.</w:t>
      </w:r>
    </w:p>
    <w:p w14:paraId="3CEF6DAE" w14:textId="77777777" w:rsidR="00B62A4E" w:rsidRPr="00613B0D" w:rsidRDefault="00845DF3" w:rsidP="00C6025F">
      <w:pPr>
        <w:pStyle w:val="Lijstalinea"/>
        <w:numPr>
          <w:ilvl w:val="0"/>
          <w:numId w:val="54"/>
        </w:numPr>
        <w:rPr>
          <w:lang w:val="nl-NL"/>
        </w:rPr>
      </w:pPr>
      <w:r>
        <w:rPr>
          <w:lang w:val="nl-NL"/>
        </w:rPr>
        <w:t>H</w:t>
      </w:r>
      <w:r w:rsidR="00B62A4E" w:rsidRPr="00613B0D">
        <w:rPr>
          <w:lang w:val="nl-NL"/>
        </w:rPr>
        <w:t xml:space="preserve">et </w:t>
      </w:r>
      <w:r w:rsidR="00540D35">
        <w:rPr>
          <w:lang w:val="nl-NL"/>
        </w:rPr>
        <w:t xml:space="preserve">sluiten, </w:t>
      </w:r>
      <w:r w:rsidR="00B62A4E" w:rsidRPr="00613B0D">
        <w:rPr>
          <w:lang w:val="nl-NL"/>
        </w:rPr>
        <w:t>wijzigen of beëindigen van de uitvoeringsovereenkomst</w:t>
      </w:r>
      <w:r>
        <w:rPr>
          <w:lang w:val="nl-NL"/>
        </w:rPr>
        <w:t>.</w:t>
      </w:r>
    </w:p>
    <w:p w14:paraId="484F7125" w14:textId="4D409C6C" w:rsidR="00B62A4E" w:rsidRPr="00613B0D" w:rsidRDefault="00845DF3" w:rsidP="00C6025F">
      <w:pPr>
        <w:pStyle w:val="Lijstalinea"/>
        <w:numPr>
          <w:ilvl w:val="0"/>
          <w:numId w:val="54"/>
        </w:numPr>
        <w:rPr>
          <w:lang w:val="nl-NL"/>
        </w:rPr>
      </w:pPr>
      <w:r>
        <w:rPr>
          <w:lang w:val="nl-NL"/>
        </w:rPr>
        <w:t>H</w:t>
      </w:r>
      <w:r w:rsidR="00B62A4E" w:rsidRPr="00613B0D">
        <w:rPr>
          <w:lang w:val="nl-NL"/>
        </w:rPr>
        <w:t xml:space="preserve">et omzetten van </w:t>
      </w:r>
      <w:r w:rsidR="00D5138A">
        <w:rPr>
          <w:lang w:val="nl-NL"/>
        </w:rPr>
        <w:t>ons</w:t>
      </w:r>
      <w:r w:rsidR="00D5138A" w:rsidRPr="00613B0D">
        <w:rPr>
          <w:lang w:val="nl-NL"/>
        </w:rPr>
        <w:t xml:space="preserve"> </w:t>
      </w:r>
      <w:r w:rsidR="00B62A4E" w:rsidRPr="00613B0D">
        <w:rPr>
          <w:lang w:val="nl-NL"/>
        </w:rPr>
        <w:t>fonds in een andere rechtsvorm, bedoeld in artikel 18 van Boek 2 van het Burgerlijk Wetboek</w:t>
      </w:r>
      <w:r>
        <w:rPr>
          <w:lang w:val="nl-NL"/>
        </w:rPr>
        <w:t>.</w:t>
      </w:r>
      <w:r w:rsidR="00B62A4E" w:rsidRPr="00613B0D">
        <w:rPr>
          <w:lang w:val="nl-NL"/>
        </w:rPr>
        <w:t xml:space="preserve"> </w:t>
      </w:r>
    </w:p>
    <w:p w14:paraId="1AAB0E82" w14:textId="77777777" w:rsidR="00B12423" w:rsidRDefault="00845DF3" w:rsidP="00C6025F">
      <w:pPr>
        <w:pStyle w:val="Lijstalinea"/>
        <w:numPr>
          <w:ilvl w:val="0"/>
          <w:numId w:val="54"/>
        </w:numPr>
        <w:rPr>
          <w:lang w:val="nl-NL"/>
        </w:rPr>
      </w:pPr>
      <w:r>
        <w:rPr>
          <w:lang w:val="nl-NL"/>
        </w:rPr>
        <w:t>D</w:t>
      </w:r>
      <w:r w:rsidR="00B62A4E" w:rsidRPr="00613B0D">
        <w:rPr>
          <w:lang w:val="nl-NL"/>
        </w:rPr>
        <w:t xml:space="preserve">e samenstelling van de feitelijke premie en de </w:t>
      </w:r>
      <w:r w:rsidR="00613B0D">
        <w:rPr>
          <w:lang w:val="nl-NL"/>
        </w:rPr>
        <w:t>hoogte van de premiecomponenten.</w:t>
      </w:r>
    </w:p>
    <w:p w14:paraId="6831FE95" w14:textId="42BDBB38" w:rsidR="00B62A4E" w:rsidRPr="00613B0D" w:rsidRDefault="00B12423" w:rsidP="00C6025F">
      <w:pPr>
        <w:pStyle w:val="Lijstalinea"/>
        <w:numPr>
          <w:ilvl w:val="0"/>
          <w:numId w:val="15"/>
        </w:numPr>
        <w:rPr>
          <w:lang w:val="nl-NL"/>
        </w:rPr>
      </w:pPr>
      <w:r>
        <w:rPr>
          <w:lang w:val="nl-NL"/>
        </w:rPr>
        <w:t xml:space="preserve">Heeft </w:t>
      </w:r>
      <w:r>
        <w:t>verzwaard adviesrecht met betrekking tot het invaarbesluit naar de WTP.</w:t>
      </w:r>
      <w:r w:rsidRPr="00B12423">
        <w:t xml:space="preserve"> </w:t>
      </w:r>
    </w:p>
    <w:p w14:paraId="61009948" w14:textId="77777777" w:rsidR="00B62A4E" w:rsidRPr="00613B0D" w:rsidRDefault="00B62A4E" w:rsidP="00B62A4E">
      <w:pPr>
        <w:rPr>
          <w:i/>
          <w:lang w:val="nl-NL"/>
        </w:rPr>
      </w:pPr>
      <w:r w:rsidRPr="00613B0D">
        <w:rPr>
          <w:i/>
          <w:lang w:val="nl-NL"/>
        </w:rPr>
        <w:t>Overleg</w:t>
      </w:r>
    </w:p>
    <w:p w14:paraId="6F05425C" w14:textId="03C420F9" w:rsidR="00B62A4E" w:rsidRDefault="00B62A4E" w:rsidP="00B62A4E">
      <w:pPr>
        <w:rPr>
          <w:lang w:val="nl-NL"/>
        </w:rPr>
      </w:pPr>
      <w:r w:rsidRPr="00B62A4E">
        <w:rPr>
          <w:lang w:val="nl-NL"/>
        </w:rPr>
        <w:t>Het verantwoordingsorgaan</w:t>
      </w:r>
      <w:r w:rsidR="00540D35">
        <w:rPr>
          <w:lang w:val="nl-NL"/>
        </w:rPr>
        <w:t xml:space="preserve"> komt tenminste vier keer per jaar</w:t>
      </w:r>
      <w:r w:rsidR="001D26A0">
        <w:rPr>
          <w:lang w:val="nl-NL"/>
        </w:rPr>
        <w:t xml:space="preserve"> bij elkaar</w:t>
      </w:r>
      <w:r w:rsidRPr="00B62A4E">
        <w:rPr>
          <w:lang w:val="nl-NL"/>
        </w:rPr>
        <w:t xml:space="preserve">. Daarnaast zijn er </w:t>
      </w:r>
      <w:r w:rsidR="006C3DB5">
        <w:rPr>
          <w:lang w:val="nl-NL"/>
        </w:rPr>
        <w:t>periodiek</w:t>
      </w:r>
      <w:r w:rsidRPr="00B62A4E">
        <w:rPr>
          <w:lang w:val="nl-NL"/>
        </w:rPr>
        <w:t xml:space="preserve"> overlegvergaderingen met (een afvaardiging van) het bestuur</w:t>
      </w:r>
      <w:r w:rsidR="00A366F7">
        <w:rPr>
          <w:lang w:val="nl-NL"/>
        </w:rPr>
        <w:t xml:space="preserve"> en met de raad van toezicht</w:t>
      </w:r>
      <w:r w:rsidRPr="00B62A4E">
        <w:rPr>
          <w:lang w:val="nl-NL"/>
        </w:rPr>
        <w:t xml:space="preserve">. Tijdens deze overleggen worden aangelegenheden aan de orde gesteld waarover </w:t>
      </w:r>
      <w:r w:rsidR="00A366F7">
        <w:rPr>
          <w:lang w:val="nl-NL"/>
        </w:rPr>
        <w:t>partijen</w:t>
      </w:r>
      <w:r w:rsidRPr="00B62A4E">
        <w:rPr>
          <w:lang w:val="nl-NL"/>
        </w:rPr>
        <w:t xml:space="preserve"> overleg wenselijk achten. Het verantwoordingsorgaan wordt ondersteund door</w:t>
      </w:r>
      <w:r w:rsidR="007441C1">
        <w:rPr>
          <w:lang w:val="nl-NL"/>
        </w:rPr>
        <w:t xml:space="preserve"> een ambtelijk secretaris vanuit</w:t>
      </w:r>
      <w:r w:rsidRPr="00B62A4E">
        <w:rPr>
          <w:lang w:val="nl-NL"/>
        </w:rPr>
        <w:t xml:space="preserve"> het bestuursbureau van </w:t>
      </w:r>
      <w:r w:rsidR="00B637F1">
        <w:rPr>
          <w:lang w:val="nl-NL"/>
        </w:rPr>
        <w:t>ons</w:t>
      </w:r>
      <w:r w:rsidR="00B637F1" w:rsidRPr="00B62A4E">
        <w:rPr>
          <w:lang w:val="nl-NL"/>
        </w:rPr>
        <w:t xml:space="preserve"> </w:t>
      </w:r>
      <w:r w:rsidRPr="00B62A4E">
        <w:rPr>
          <w:lang w:val="nl-NL"/>
        </w:rPr>
        <w:t>fonds.</w:t>
      </w:r>
    </w:p>
    <w:p w14:paraId="37CFB025" w14:textId="77777777" w:rsidR="00613B0D" w:rsidRPr="00B62A4E" w:rsidRDefault="00613B0D" w:rsidP="00B62A4E">
      <w:pPr>
        <w:rPr>
          <w:lang w:val="nl-NL"/>
        </w:rPr>
      </w:pPr>
    </w:p>
    <w:p w14:paraId="35A5447F" w14:textId="77777777" w:rsidR="00B62A4E" w:rsidRPr="00B62A4E" w:rsidRDefault="00540D35" w:rsidP="00613B0D">
      <w:pPr>
        <w:pStyle w:val="Kop3"/>
        <w:spacing w:after="240"/>
        <w:rPr>
          <w:rFonts w:hint="eastAsia"/>
          <w:lang w:val="nl-NL"/>
        </w:rPr>
      </w:pPr>
      <w:bookmarkStart w:id="22" w:name="_Toc231804748"/>
      <w:r>
        <w:rPr>
          <w:lang w:val="nl-NL"/>
        </w:rPr>
        <w:t>Raad van toezicht</w:t>
      </w:r>
      <w:bookmarkEnd w:id="22"/>
    </w:p>
    <w:p w14:paraId="204199CD" w14:textId="1631AAD4" w:rsidR="00B62A4E" w:rsidRPr="00B62A4E" w:rsidRDefault="00D5138A" w:rsidP="00B62A4E">
      <w:pPr>
        <w:rPr>
          <w:lang w:val="nl-NL"/>
        </w:rPr>
      </w:pPr>
      <w:r>
        <w:rPr>
          <w:lang w:val="nl-NL"/>
        </w:rPr>
        <w:t>Ons fonds</w:t>
      </w:r>
      <w:r w:rsidR="00B62A4E" w:rsidRPr="00B62A4E">
        <w:rPr>
          <w:lang w:val="nl-NL"/>
        </w:rPr>
        <w:t xml:space="preserve"> heeft zijn intern toezicht vormgege</w:t>
      </w:r>
      <w:r w:rsidR="00613B0D">
        <w:rPr>
          <w:lang w:val="nl-NL"/>
        </w:rPr>
        <w:t xml:space="preserve">ven via een </w:t>
      </w:r>
      <w:r w:rsidR="00540D35">
        <w:rPr>
          <w:lang w:val="nl-NL"/>
        </w:rPr>
        <w:t>raad van toezicht</w:t>
      </w:r>
      <w:r w:rsidR="00613B0D">
        <w:rPr>
          <w:lang w:val="nl-NL"/>
        </w:rPr>
        <w:t>.</w:t>
      </w:r>
    </w:p>
    <w:p w14:paraId="0FB602E6" w14:textId="77777777" w:rsidR="00B62A4E" w:rsidRPr="00B62A4E" w:rsidRDefault="00B62A4E" w:rsidP="00B62A4E">
      <w:pPr>
        <w:rPr>
          <w:lang w:val="nl-NL"/>
        </w:rPr>
      </w:pPr>
    </w:p>
    <w:p w14:paraId="5499F896" w14:textId="77777777" w:rsidR="00B62A4E" w:rsidRPr="00613B0D" w:rsidRDefault="00B62A4E" w:rsidP="00B62A4E">
      <w:pPr>
        <w:rPr>
          <w:i/>
          <w:lang w:val="nl-NL"/>
        </w:rPr>
      </w:pPr>
      <w:r w:rsidRPr="00613B0D">
        <w:rPr>
          <w:i/>
          <w:lang w:val="nl-NL"/>
        </w:rPr>
        <w:lastRenderedPageBreak/>
        <w:t>Samenstelling en zittingstermijn</w:t>
      </w:r>
    </w:p>
    <w:p w14:paraId="31E273D3" w14:textId="0A734D9A" w:rsidR="00540D35" w:rsidRDefault="00B62A4E" w:rsidP="00540D35">
      <w:pPr>
        <w:rPr>
          <w:lang w:val="nl-NL"/>
        </w:rPr>
      </w:pPr>
      <w:r w:rsidRPr="00B62A4E">
        <w:rPr>
          <w:lang w:val="nl-NL"/>
        </w:rPr>
        <w:t xml:space="preserve">De </w:t>
      </w:r>
      <w:r w:rsidR="00540D35">
        <w:rPr>
          <w:lang w:val="nl-NL"/>
        </w:rPr>
        <w:t>raad van toezicht</w:t>
      </w:r>
      <w:r w:rsidRPr="00B62A4E">
        <w:rPr>
          <w:lang w:val="nl-NL"/>
        </w:rPr>
        <w:t xml:space="preserve"> bestaat uit drie onafhankelijke </w:t>
      </w:r>
      <w:r w:rsidR="00CF6710">
        <w:rPr>
          <w:lang w:val="nl-NL"/>
        </w:rPr>
        <w:t xml:space="preserve">en deskundige </w:t>
      </w:r>
      <w:r w:rsidRPr="00B62A4E">
        <w:rPr>
          <w:lang w:val="nl-NL"/>
        </w:rPr>
        <w:t xml:space="preserve">personen die op geen enkele andere wijze betrokken zijn bij het functioneren van </w:t>
      </w:r>
      <w:r w:rsidR="001B1FA4">
        <w:rPr>
          <w:lang w:val="nl-NL"/>
        </w:rPr>
        <w:t>ons</w:t>
      </w:r>
      <w:r w:rsidR="001B1FA4" w:rsidRPr="00B62A4E">
        <w:rPr>
          <w:lang w:val="nl-NL"/>
        </w:rPr>
        <w:t xml:space="preserve"> </w:t>
      </w:r>
      <w:r w:rsidRPr="00B62A4E">
        <w:rPr>
          <w:lang w:val="nl-NL"/>
        </w:rPr>
        <w:t xml:space="preserve">fonds. De leden van de </w:t>
      </w:r>
      <w:r w:rsidR="00540D35">
        <w:rPr>
          <w:lang w:val="nl-NL"/>
        </w:rPr>
        <w:t>raad van toezicht</w:t>
      </w:r>
      <w:r w:rsidRPr="00B62A4E">
        <w:rPr>
          <w:lang w:val="nl-NL"/>
        </w:rPr>
        <w:t xml:space="preserve"> worden na bindende voordracht van het verantwoordingsorgaan door het bestuur</w:t>
      </w:r>
      <w:r w:rsidR="00540D35">
        <w:rPr>
          <w:lang w:val="nl-NL"/>
        </w:rPr>
        <w:t xml:space="preserve"> voor een periode van vier jaar</w:t>
      </w:r>
      <w:r w:rsidRPr="00B62A4E">
        <w:rPr>
          <w:lang w:val="nl-NL"/>
        </w:rPr>
        <w:t xml:space="preserve"> benoemd en kunnen maximaal </w:t>
      </w:r>
      <w:r w:rsidR="00540D35">
        <w:rPr>
          <w:lang w:val="nl-NL"/>
        </w:rPr>
        <w:t>één keer worden herbenoemd, op basis van een bindend advies van het verantwoordingsorgaan</w:t>
      </w:r>
      <w:r w:rsidR="00540D35" w:rsidRPr="00B62A4E">
        <w:rPr>
          <w:lang w:val="nl-NL"/>
        </w:rPr>
        <w:t xml:space="preserve">. </w:t>
      </w:r>
    </w:p>
    <w:p w14:paraId="57823D9E" w14:textId="77777777" w:rsidR="00540D35" w:rsidRPr="00B62A4E" w:rsidRDefault="00540D35" w:rsidP="00540D35">
      <w:pPr>
        <w:rPr>
          <w:lang w:val="nl-NL"/>
        </w:rPr>
      </w:pPr>
      <w:r>
        <w:rPr>
          <w:lang w:val="nl-NL"/>
        </w:rPr>
        <w:t>De benoeming vindt plaats onder de opschortende voorwaarde dat DNB binnen de daarvoor geldende termijn geen bezwaar heeft gemaakt tegen benoeming, dan wel heeft laten weten in ter stemmen met de benoeming.</w:t>
      </w:r>
    </w:p>
    <w:p w14:paraId="1B38BBFF" w14:textId="77777777" w:rsidR="00B62A4E" w:rsidRPr="00B62A4E" w:rsidRDefault="00B62A4E" w:rsidP="00B62A4E">
      <w:pPr>
        <w:rPr>
          <w:lang w:val="nl-NL"/>
        </w:rPr>
      </w:pPr>
    </w:p>
    <w:p w14:paraId="6A90D7B0" w14:textId="77777777" w:rsidR="00B62A4E" w:rsidRDefault="00B62A4E" w:rsidP="00B62A4E">
      <w:pPr>
        <w:rPr>
          <w:i/>
          <w:lang w:val="nl-NL"/>
        </w:rPr>
      </w:pPr>
      <w:r w:rsidRPr="00613B0D">
        <w:rPr>
          <w:i/>
          <w:lang w:val="nl-NL"/>
        </w:rPr>
        <w:t>Taken en bevoegdheden</w:t>
      </w:r>
    </w:p>
    <w:p w14:paraId="51AF61AA" w14:textId="77777777" w:rsidR="004B16F6" w:rsidRPr="00613B0D" w:rsidRDefault="004B16F6" w:rsidP="00B62A4E">
      <w:pPr>
        <w:rPr>
          <w:i/>
          <w:lang w:val="nl-NL"/>
        </w:rPr>
      </w:pPr>
    </w:p>
    <w:p w14:paraId="504291B8" w14:textId="77777777" w:rsidR="004B16F6" w:rsidRDefault="004B16F6" w:rsidP="00B62A4E">
      <w:pPr>
        <w:rPr>
          <w:lang w:val="nl-NL"/>
        </w:rPr>
      </w:pPr>
      <w:r w:rsidRPr="00B62A4E">
        <w:rPr>
          <w:lang w:val="nl-NL"/>
        </w:rPr>
        <w:t xml:space="preserve">De </w:t>
      </w:r>
      <w:r>
        <w:rPr>
          <w:lang w:val="nl-NL"/>
        </w:rPr>
        <w:t xml:space="preserve">raad van toezicht staat het bestuur ter zijde en stelt zich op als gesprekspartner van het bestuur. </w:t>
      </w:r>
    </w:p>
    <w:p w14:paraId="24DD2D51" w14:textId="31BFC755" w:rsidR="00670829" w:rsidRDefault="004B16F6" w:rsidP="004B16F6">
      <w:pPr>
        <w:rPr>
          <w:lang w:val="nl-NL"/>
        </w:rPr>
      </w:pPr>
      <w:r>
        <w:rPr>
          <w:lang w:val="nl-NL"/>
        </w:rPr>
        <w:t>De raad van toezicht</w:t>
      </w:r>
      <w:r w:rsidRPr="002178B1">
        <w:rPr>
          <w:lang w:val="nl-NL"/>
        </w:rPr>
        <w:t xml:space="preserve"> heeft de volgende taken: </w:t>
      </w:r>
    </w:p>
    <w:p w14:paraId="54203E5D" w14:textId="0474C479" w:rsidR="004B16F6" w:rsidRPr="002178B1" w:rsidRDefault="004B16F6" w:rsidP="001E699B">
      <w:pPr>
        <w:pStyle w:val="Lijstalinea"/>
        <w:numPr>
          <w:ilvl w:val="0"/>
          <w:numId w:val="10"/>
        </w:numPr>
        <w:rPr>
          <w:lang w:val="nl-NL"/>
        </w:rPr>
      </w:pPr>
      <w:r>
        <w:rPr>
          <w:lang w:val="nl-NL"/>
        </w:rPr>
        <w:t xml:space="preserve">Het </w:t>
      </w:r>
      <w:r w:rsidRPr="002178B1">
        <w:rPr>
          <w:lang w:val="nl-NL"/>
        </w:rPr>
        <w:t xml:space="preserve">toezicht houden op het beleid van het bestuur en op de algemene gang van zaken in </w:t>
      </w:r>
      <w:r w:rsidR="001B1FA4">
        <w:rPr>
          <w:lang w:val="nl-NL"/>
        </w:rPr>
        <w:t>ons</w:t>
      </w:r>
      <w:r w:rsidR="001B1FA4" w:rsidRPr="002178B1">
        <w:rPr>
          <w:lang w:val="nl-NL"/>
        </w:rPr>
        <w:t xml:space="preserve"> </w:t>
      </w:r>
      <w:r>
        <w:rPr>
          <w:lang w:val="nl-NL"/>
        </w:rPr>
        <w:t>f</w:t>
      </w:r>
      <w:r w:rsidR="00A01F9F">
        <w:rPr>
          <w:lang w:val="nl-NL"/>
        </w:rPr>
        <w:t>onds.</w:t>
      </w:r>
      <w:r w:rsidRPr="002178B1">
        <w:rPr>
          <w:lang w:val="nl-NL"/>
        </w:rPr>
        <w:t xml:space="preserve"> </w:t>
      </w:r>
    </w:p>
    <w:p w14:paraId="740549A1" w14:textId="77777777" w:rsidR="004B16F6" w:rsidRPr="002178B1" w:rsidRDefault="004B16F6" w:rsidP="001E699B">
      <w:pPr>
        <w:pStyle w:val="Lijstalinea"/>
        <w:numPr>
          <w:ilvl w:val="0"/>
          <w:numId w:val="10"/>
        </w:numPr>
        <w:rPr>
          <w:lang w:val="nl-NL"/>
        </w:rPr>
      </w:pPr>
      <w:r>
        <w:rPr>
          <w:lang w:val="nl-NL"/>
        </w:rPr>
        <w:t xml:space="preserve">Het </w:t>
      </w:r>
      <w:r w:rsidRPr="002178B1">
        <w:rPr>
          <w:lang w:val="nl-NL"/>
        </w:rPr>
        <w:t xml:space="preserve">toezicht houden op </w:t>
      </w:r>
      <w:r>
        <w:rPr>
          <w:lang w:val="nl-NL"/>
        </w:rPr>
        <w:t xml:space="preserve">een </w:t>
      </w:r>
      <w:r w:rsidRPr="002178B1">
        <w:rPr>
          <w:lang w:val="nl-NL"/>
        </w:rPr>
        <w:t>adequate risicobeheersing en op evenwichtige be</w:t>
      </w:r>
      <w:r w:rsidR="00A01F9F">
        <w:rPr>
          <w:lang w:val="nl-NL"/>
        </w:rPr>
        <w:t>langenafweging door het bestuur.</w:t>
      </w:r>
      <w:r w:rsidRPr="002178B1">
        <w:rPr>
          <w:lang w:val="nl-NL"/>
        </w:rPr>
        <w:t xml:space="preserve"> </w:t>
      </w:r>
    </w:p>
    <w:p w14:paraId="09E68926" w14:textId="77777777" w:rsidR="004B16F6" w:rsidRPr="002178B1" w:rsidRDefault="004B16F6" w:rsidP="001E699B">
      <w:pPr>
        <w:pStyle w:val="Lijstalinea"/>
        <w:numPr>
          <w:ilvl w:val="0"/>
          <w:numId w:val="10"/>
        </w:numPr>
        <w:rPr>
          <w:lang w:val="nl-NL"/>
        </w:rPr>
      </w:pPr>
      <w:r>
        <w:rPr>
          <w:lang w:val="nl-NL"/>
        </w:rPr>
        <w:t>V</w:t>
      </w:r>
      <w:r w:rsidRPr="002178B1">
        <w:rPr>
          <w:lang w:val="nl-NL"/>
        </w:rPr>
        <w:t>erantwoording afleggen over uitvoering van zijn taken en uitoefenin</w:t>
      </w:r>
      <w:r>
        <w:rPr>
          <w:lang w:val="nl-NL"/>
        </w:rPr>
        <w:t>g van de bevoegdheden aan het verantwoordingsorgaan</w:t>
      </w:r>
      <w:r w:rsidRPr="002178B1">
        <w:rPr>
          <w:lang w:val="nl-NL"/>
        </w:rPr>
        <w:t xml:space="preserve"> en vastleg</w:t>
      </w:r>
      <w:r w:rsidR="00A01F9F">
        <w:rPr>
          <w:lang w:val="nl-NL"/>
        </w:rPr>
        <w:t>ging daarvan in het jaarverslag.</w:t>
      </w:r>
      <w:r w:rsidRPr="002178B1">
        <w:rPr>
          <w:lang w:val="nl-NL"/>
        </w:rPr>
        <w:t xml:space="preserve"> </w:t>
      </w:r>
      <w:r>
        <w:rPr>
          <w:lang w:val="nl-NL"/>
        </w:rPr>
        <w:t xml:space="preserve"> </w:t>
      </w:r>
    </w:p>
    <w:p w14:paraId="6C281A65" w14:textId="77777777" w:rsidR="004B16F6" w:rsidRPr="002178B1" w:rsidRDefault="004B16F6" w:rsidP="001E699B">
      <w:pPr>
        <w:pStyle w:val="Lijstalinea"/>
        <w:numPr>
          <w:ilvl w:val="0"/>
          <w:numId w:val="10"/>
        </w:numPr>
        <w:rPr>
          <w:lang w:val="nl-NL"/>
        </w:rPr>
      </w:pPr>
      <w:r>
        <w:rPr>
          <w:lang w:val="nl-NL"/>
        </w:rPr>
        <w:t xml:space="preserve">Het melden van het </w:t>
      </w:r>
      <w:r w:rsidRPr="002178B1">
        <w:rPr>
          <w:lang w:val="nl-NL"/>
        </w:rPr>
        <w:t xml:space="preserve">disfunctioneren van het bestuur </w:t>
      </w:r>
      <w:r>
        <w:rPr>
          <w:lang w:val="nl-NL"/>
        </w:rPr>
        <w:t>aan het verantwoordingsorgaan</w:t>
      </w:r>
      <w:r w:rsidRPr="002178B1">
        <w:rPr>
          <w:lang w:val="nl-NL"/>
        </w:rPr>
        <w:t xml:space="preserve"> en aan partijen die bevoegd zijn tot de voordracht van de bestuursleden. </w:t>
      </w:r>
    </w:p>
    <w:p w14:paraId="5989793E" w14:textId="77777777" w:rsidR="004B16F6" w:rsidRPr="002178B1" w:rsidRDefault="004B16F6" w:rsidP="001E699B">
      <w:pPr>
        <w:pStyle w:val="Lijstalinea"/>
        <w:numPr>
          <w:ilvl w:val="0"/>
          <w:numId w:val="10"/>
        </w:numPr>
        <w:rPr>
          <w:lang w:val="nl-NL"/>
        </w:rPr>
      </w:pPr>
      <w:r>
        <w:rPr>
          <w:lang w:val="nl-NL"/>
        </w:rPr>
        <w:t xml:space="preserve">Het melden van het </w:t>
      </w:r>
      <w:r w:rsidRPr="002178B1">
        <w:rPr>
          <w:lang w:val="nl-NL"/>
        </w:rPr>
        <w:t>disfunctioneren van het bestuur aan de toezichthouder DNB indien de tot voordracht van bestuursleden bevoegde partijen niet binnen e</w:t>
      </w:r>
      <w:r>
        <w:rPr>
          <w:lang w:val="nl-NL"/>
        </w:rPr>
        <w:t>en, naar tevredenheid van de raad van toezicht</w:t>
      </w:r>
      <w:r w:rsidR="00A01F9F">
        <w:rPr>
          <w:lang w:val="nl-NL"/>
        </w:rPr>
        <w:t xml:space="preserve"> redelijke termijn handelen.</w:t>
      </w:r>
      <w:r w:rsidRPr="002178B1">
        <w:rPr>
          <w:lang w:val="nl-NL"/>
        </w:rPr>
        <w:t xml:space="preserve"> </w:t>
      </w:r>
    </w:p>
    <w:p w14:paraId="09FD36BD" w14:textId="77777777" w:rsidR="004B16F6" w:rsidRPr="002178B1" w:rsidRDefault="004B16F6" w:rsidP="001E699B">
      <w:pPr>
        <w:pStyle w:val="Lijstalinea"/>
        <w:numPr>
          <w:ilvl w:val="0"/>
          <w:numId w:val="10"/>
        </w:numPr>
        <w:rPr>
          <w:lang w:val="nl-NL"/>
        </w:rPr>
      </w:pPr>
      <w:r>
        <w:rPr>
          <w:lang w:val="nl-NL"/>
        </w:rPr>
        <w:t>D</w:t>
      </w:r>
      <w:r w:rsidRPr="002178B1">
        <w:rPr>
          <w:lang w:val="nl-NL"/>
        </w:rPr>
        <w:t>e mogelijkheid om de bestuurders te schorsen of te o</w:t>
      </w:r>
      <w:r w:rsidR="00A01F9F">
        <w:rPr>
          <w:lang w:val="nl-NL"/>
        </w:rPr>
        <w:t>ntslaan wegens disfunctioneren.</w:t>
      </w:r>
    </w:p>
    <w:p w14:paraId="5229A3C3" w14:textId="77777777" w:rsidR="004B16F6" w:rsidRPr="002178B1" w:rsidRDefault="004B16F6" w:rsidP="001E699B">
      <w:pPr>
        <w:pStyle w:val="Lijstalinea"/>
        <w:numPr>
          <w:ilvl w:val="0"/>
          <w:numId w:val="10"/>
        </w:numPr>
        <w:rPr>
          <w:lang w:val="nl-NL"/>
        </w:rPr>
      </w:pPr>
      <w:r>
        <w:rPr>
          <w:lang w:val="nl-NL"/>
        </w:rPr>
        <w:t>D</w:t>
      </w:r>
      <w:r w:rsidRPr="002178B1">
        <w:rPr>
          <w:lang w:val="nl-NL"/>
        </w:rPr>
        <w:t>e mogelijkheid om een voorgenomen benoeming van een kandidaat-bestuurder te beletten indien deze nie</w:t>
      </w:r>
      <w:r w:rsidR="00A01F9F">
        <w:rPr>
          <w:lang w:val="nl-NL"/>
        </w:rPr>
        <w:t>t voldoet aan de profielschets.</w:t>
      </w:r>
    </w:p>
    <w:p w14:paraId="227C4509" w14:textId="77777777" w:rsidR="004B16F6" w:rsidRPr="002178B1" w:rsidRDefault="004B16F6" w:rsidP="001E699B">
      <w:pPr>
        <w:pStyle w:val="Lijstalinea"/>
        <w:numPr>
          <w:ilvl w:val="0"/>
          <w:numId w:val="10"/>
        </w:numPr>
        <w:rPr>
          <w:lang w:val="nl-NL"/>
        </w:rPr>
      </w:pPr>
      <w:r>
        <w:rPr>
          <w:lang w:val="nl-NL"/>
        </w:rPr>
        <w:t>E</w:t>
      </w:r>
      <w:r w:rsidRPr="002178B1">
        <w:rPr>
          <w:lang w:val="nl-NL"/>
        </w:rPr>
        <w:t>en profielschets opstellen voor de v</w:t>
      </w:r>
      <w:r>
        <w:rPr>
          <w:lang w:val="nl-NL"/>
        </w:rPr>
        <w:t>oorzitter en de leden van de raad van toezicht</w:t>
      </w:r>
      <w:r w:rsidRPr="002178B1">
        <w:rPr>
          <w:lang w:val="nl-NL"/>
        </w:rPr>
        <w:t xml:space="preserve">. </w:t>
      </w:r>
    </w:p>
    <w:p w14:paraId="147131E7" w14:textId="77777777" w:rsidR="004B16F6" w:rsidRDefault="004B16F6" w:rsidP="004B16F6">
      <w:pPr>
        <w:ind w:left="360"/>
        <w:rPr>
          <w:lang w:val="nl-NL"/>
        </w:rPr>
      </w:pPr>
    </w:p>
    <w:p w14:paraId="55943745" w14:textId="77777777" w:rsidR="004B16F6" w:rsidRPr="002178B1" w:rsidRDefault="004B16F6" w:rsidP="004B16F6">
      <w:pPr>
        <w:rPr>
          <w:lang w:val="nl-NL"/>
        </w:rPr>
      </w:pPr>
      <w:r>
        <w:rPr>
          <w:lang w:val="nl-NL"/>
        </w:rPr>
        <w:t>Aan de goedkeuring van de raad van toezicht</w:t>
      </w:r>
      <w:r w:rsidRPr="002178B1">
        <w:rPr>
          <w:lang w:val="nl-NL"/>
        </w:rPr>
        <w:t xml:space="preserve"> zijn onderworpen de bestuursbesluiten tot vaststelling van: </w:t>
      </w:r>
    </w:p>
    <w:p w14:paraId="32192F6E" w14:textId="7C2A1F01" w:rsidR="004B16F6" w:rsidRPr="002178B1" w:rsidRDefault="004B16F6" w:rsidP="001E699B">
      <w:pPr>
        <w:pStyle w:val="Lijstalinea"/>
        <w:numPr>
          <w:ilvl w:val="0"/>
          <w:numId w:val="10"/>
        </w:numPr>
        <w:rPr>
          <w:lang w:val="nl-NL"/>
        </w:rPr>
      </w:pPr>
      <w:r>
        <w:rPr>
          <w:lang w:val="nl-NL"/>
        </w:rPr>
        <w:t>H</w:t>
      </w:r>
      <w:r w:rsidRPr="002178B1">
        <w:rPr>
          <w:lang w:val="nl-NL"/>
        </w:rPr>
        <w:t>et</w:t>
      </w:r>
      <w:r w:rsidR="00A01F9F">
        <w:rPr>
          <w:lang w:val="nl-NL"/>
        </w:rPr>
        <w:t xml:space="preserve"> </w:t>
      </w:r>
      <w:r w:rsidR="005C2081">
        <w:rPr>
          <w:lang w:val="nl-NL"/>
        </w:rPr>
        <w:t>bestuurs</w:t>
      </w:r>
      <w:r w:rsidR="00A01F9F">
        <w:rPr>
          <w:lang w:val="nl-NL"/>
        </w:rPr>
        <w:t>verslag en de jaarrekening.</w:t>
      </w:r>
      <w:r w:rsidRPr="002178B1">
        <w:rPr>
          <w:lang w:val="nl-NL"/>
        </w:rPr>
        <w:t xml:space="preserve"> </w:t>
      </w:r>
    </w:p>
    <w:p w14:paraId="0B3D4EE1" w14:textId="77777777" w:rsidR="004B16F6" w:rsidRPr="002178B1" w:rsidRDefault="004B16F6" w:rsidP="001E699B">
      <w:pPr>
        <w:pStyle w:val="Lijstalinea"/>
        <w:numPr>
          <w:ilvl w:val="0"/>
          <w:numId w:val="10"/>
        </w:numPr>
        <w:rPr>
          <w:lang w:val="nl-NL"/>
        </w:rPr>
      </w:pPr>
      <w:r>
        <w:rPr>
          <w:lang w:val="nl-NL"/>
        </w:rPr>
        <w:t>D</w:t>
      </w:r>
      <w:r w:rsidRPr="002178B1">
        <w:rPr>
          <w:lang w:val="nl-NL"/>
        </w:rPr>
        <w:t>e</w:t>
      </w:r>
      <w:r w:rsidR="00A01F9F">
        <w:rPr>
          <w:lang w:val="nl-NL"/>
        </w:rPr>
        <w:t xml:space="preserve"> profielschets voor bestuurders.</w:t>
      </w:r>
      <w:r w:rsidRPr="002178B1">
        <w:rPr>
          <w:lang w:val="nl-NL"/>
        </w:rPr>
        <w:t xml:space="preserve"> </w:t>
      </w:r>
    </w:p>
    <w:p w14:paraId="4A07BEE4" w14:textId="77777777" w:rsidR="004B16F6" w:rsidRPr="002178B1" w:rsidRDefault="004B16F6" w:rsidP="001E699B">
      <w:pPr>
        <w:pStyle w:val="Lijstalinea"/>
        <w:numPr>
          <w:ilvl w:val="0"/>
          <w:numId w:val="10"/>
        </w:numPr>
        <w:rPr>
          <w:lang w:val="nl-NL"/>
        </w:rPr>
      </w:pPr>
      <w:r>
        <w:rPr>
          <w:lang w:val="nl-NL"/>
        </w:rPr>
        <w:t>H</w:t>
      </w:r>
      <w:r w:rsidRPr="002178B1">
        <w:rPr>
          <w:lang w:val="nl-NL"/>
        </w:rPr>
        <w:t>et beleid inzake beloningen, met uitzond</w:t>
      </w:r>
      <w:r>
        <w:rPr>
          <w:lang w:val="nl-NL"/>
        </w:rPr>
        <w:t>ering van de beloning van de raad van toezicht</w:t>
      </w:r>
      <w:r w:rsidR="00A01F9F">
        <w:rPr>
          <w:lang w:val="nl-NL"/>
        </w:rPr>
        <w:t>.</w:t>
      </w:r>
      <w:r w:rsidRPr="002178B1">
        <w:rPr>
          <w:lang w:val="nl-NL"/>
        </w:rPr>
        <w:t xml:space="preserve"> </w:t>
      </w:r>
    </w:p>
    <w:p w14:paraId="263310AA" w14:textId="76FDB3C3" w:rsidR="004B16F6" w:rsidRPr="002178B1" w:rsidRDefault="004B16F6" w:rsidP="001E699B">
      <w:pPr>
        <w:pStyle w:val="Lijstalinea"/>
        <w:numPr>
          <w:ilvl w:val="0"/>
          <w:numId w:val="10"/>
        </w:numPr>
        <w:rPr>
          <w:lang w:val="nl-NL"/>
        </w:rPr>
      </w:pPr>
      <w:r>
        <w:rPr>
          <w:lang w:val="nl-NL"/>
        </w:rPr>
        <w:t xml:space="preserve">De </w:t>
      </w:r>
      <w:r w:rsidRPr="002178B1">
        <w:rPr>
          <w:lang w:val="nl-NL"/>
        </w:rPr>
        <w:t xml:space="preserve">gehele of gedeeltelijke overdracht van de verplichtingen van </w:t>
      </w:r>
      <w:r w:rsidR="001B1FA4">
        <w:rPr>
          <w:lang w:val="nl-NL"/>
        </w:rPr>
        <w:t>ons</w:t>
      </w:r>
      <w:r w:rsidR="001B1FA4" w:rsidRPr="002178B1">
        <w:rPr>
          <w:lang w:val="nl-NL"/>
        </w:rPr>
        <w:t xml:space="preserve"> </w:t>
      </w:r>
      <w:r>
        <w:rPr>
          <w:lang w:val="nl-NL"/>
        </w:rPr>
        <w:t>f</w:t>
      </w:r>
      <w:r w:rsidRPr="002178B1">
        <w:rPr>
          <w:lang w:val="nl-NL"/>
        </w:rPr>
        <w:t xml:space="preserve">onds of de overname van verplichtingen door </w:t>
      </w:r>
      <w:r w:rsidR="001B1FA4">
        <w:rPr>
          <w:lang w:val="nl-NL"/>
        </w:rPr>
        <w:t>ons</w:t>
      </w:r>
      <w:r w:rsidR="001B1FA4" w:rsidRPr="002178B1">
        <w:rPr>
          <w:lang w:val="nl-NL"/>
        </w:rPr>
        <w:t xml:space="preserve"> </w:t>
      </w:r>
      <w:r>
        <w:rPr>
          <w:lang w:val="nl-NL"/>
        </w:rPr>
        <w:t>f</w:t>
      </w:r>
      <w:r w:rsidR="00A01F9F">
        <w:rPr>
          <w:lang w:val="nl-NL"/>
        </w:rPr>
        <w:t>onds.</w:t>
      </w:r>
    </w:p>
    <w:p w14:paraId="10130973" w14:textId="7DE648A8" w:rsidR="004B16F6" w:rsidRPr="002178B1" w:rsidRDefault="00513F4B" w:rsidP="001E699B">
      <w:pPr>
        <w:pStyle w:val="Lijstalinea"/>
        <w:numPr>
          <w:ilvl w:val="0"/>
          <w:numId w:val="10"/>
        </w:numPr>
        <w:rPr>
          <w:lang w:val="nl-NL"/>
        </w:rPr>
      </w:pPr>
      <w:r>
        <w:rPr>
          <w:lang w:val="nl-NL"/>
        </w:rPr>
        <w:t>L</w:t>
      </w:r>
      <w:r w:rsidR="004B16F6" w:rsidRPr="002178B1">
        <w:rPr>
          <w:lang w:val="nl-NL"/>
        </w:rPr>
        <w:t xml:space="preserve">iquidatie, fusie of splitsing van </w:t>
      </w:r>
      <w:r w:rsidR="001B1FA4">
        <w:rPr>
          <w:lang w:val="nl-NL"/>
        </w:rPr>
        <w:t>ons</w:t>
      </w:r>
      <w:r w:rsidR="001B1FA4" w:rsidRPr="002178B1">
        <w:rPr>
          <w:lang w:val="nl-NL"/>
        </w:rPr>
        <w:t xml:space="preserve"> </w:t>
      </w:r>
      <w:r w:rsidR="004B16F6">
        <w:rPr>
          <w:lang w:val="nl-NL"/>
        </w:rPr>
        <w:t>f</w:t>
      </w:r>
      <w:r w:rsidR="00A01F9F">
        <w:rPr>
          <w:lang w:val="nl-NL"/>
        </w:rPr>
        <w:t>onds.</w:t>
      </w:r>
    </w:p>
    <w:p w14:paraId="455E4363" w14:textId="067E48F3" w:rsidR="004B16F6" w:rsidRPr="00D048F7" w:rsidRDefault="00513F4B" w:rsidP="001E699B">
      <w:pPr>
        <w:pStyle w:val="Lijstalinea"/>
        <w:numPr>
          <w:ilvl w:val="0"/>
          <w:numId w:val="10"/>
        </w:numPr>
        <w:rPr>
          <w:lang w:val="nl-NL"/>
        </w:rPr>
      </w:pPr>
      <w:r>
        <w:rPr>
          <w:lang w:val="nl-NL"/>
        </w:rPr>
        <w:t>H</w:t>
      </w:r>
      <w:r w:rsidR="004B16F6" w:rsidRPr="002178B1">
        <w:rPr>
          <w:lang w:val="nl-NL"/>
        </w:rPr>
        <w:t xml:space="preserve">et omzetten van </w:t>
      </w:r>
      <w:r w:rsidR="001B1FA4">
        <w:rPr>
          <w:lang w:val="nl-NL"/>
        </w:rPr>
        <w:t>ons</w:t>
      </w:r>
      <w:r w:rsidR="001B1FA4" w:rsidRPr="002178B1">
        <w:rPr>
          <w:lang w:val="nl-NL"/>
        </w:rPr>
        <w:t xml:space="preserve"> </w:t>
      </w:r>
      <w:r w:rsidR="004B16F6">
        <w:rPr>
          <w:lang w:val="nl-NL"/>
        </w:rPr>
        <w:t>f</w:t>
      </w:r>
      <w:r w:rsidR="004B16F6" w:rsidRPr="002178B1">
        <w:rPr>
          <w:lang w:val="nl-NL"/>
        </w:rPr>
        <w:t xml:space="preserve">onds in een andere rechtsvorm. </w:t>
      </w:r>
    </w:p>
    <w:p w14:paraId="01A151D5" w14:textId="77777777" w:rsidR="004B16F6" w:rsidRPr="00B62A4E" w:rsidRDefault="004B16F6" w:rsidP="00B62A4E">
      <w:pPr>
        <w:rPr>
          <w:lang w:val="nl-NL"/>
        </w:rPr>
      </w:pPr>
    </w:p>
    <w:p w14:paraId="05F62483" w14:textId="0CFEDCDF" w:rsidR="00B12423" w:rsidRDefault="00B12423" w:rsidP="00B62A4E">
      <w:pPr>
        <w:rPr>
          <w:iCs/>
        </w:rPr>
      </w:pPr>
      <w:r w:rsidRPr="00C6025F">
        <w:rPr>
          <w:iCs/>
          <w:lang w:val="nl-NL"/>
        </w:rPr>
        <w:t xml:space="preserve">Tevens heeft </w:t>
      </w:r>
      <w:r w:rsidRPr="00C6025F">
        <w:rPr>
          <w:iCs/>
        </w:rPr>
        <w:t>heeft de</w:t>
      </w:r>
      <w:r w:rsidRPr="00C6025F">
        <w:rPr>
          <w:rFonts w:hint="cs"/>
          <w:iCs/>
        </w:rPr>
        <w:t> </w:t>
      </w:r>
      <w:r w:rsidRPr="00C6025F">
        <w:rPr>
          <w:iCs/>
        </w:rPr>
        <w:t>Raad van Toezicht een verplicht</w:t>
      </w:r>
      <w:r w:rsidRPr="00C6025F">
        <w:rPr>
          <w:rFonts w:hint="cs"/>
          <w:iCs/>
        </w:rPr>
        <w:t> </w:t>
      </w:r>
      <w:r w:rsidRPr="00041793">
        <w:rPr>
          <w:iCs/>
        </w:rPr>
        <w:t>goedkeuringsrecht</w:t>
      </w:r>
      <w:r w:rsidRPr="00C6025F">
        <w:rPr>
          <w:rFonts w:hint="cs"/>
          <w:iCs/>
        </w:rPr>
        <w:t> </w:t>
      </w:r>
      <w:r w:rsidRPr="00C6025F">
        <w:rPr>
          <w:iCs/>
        </w:rPr>
        <w:t xml:space="preserve">bij het </w:t>
      </w:r>
      <w:r>
        <w:rPr>
          <w:iCs/>
        </w:rPr>
        <w:t xml:space="preserve">invaren van de pensioenaanspraken van het fonds naar de WTP. </w:t>
      </w:r>
    </w:p>
    <w:p w14:paraId="0DA58187" w14:textId="77777777" w:rsidR="00B12423" w:rsidRDefault="00B12423" w:rsidP="00B62A4E">
      <w:pPr>
        <w:rPr>
          <w:i/>
          <w:lang w:val="nl-NL"/>
        </w:rPr>
      </w:pPr>
    </w:p>
    <w:p w14:paraId="69D0DC48" w14:textId="55C96E53" w:rsidR="00B62A4E" w:rsidRPr="00613B0D" w:rsidRDefault="00B62A4E" w:rsidP="00B62A4E">
      <w:pPr>
        <w:rPr>
          <w:i/>
          <w:lang w:val="nl-NL"/>
        </w:rPr>
      </w:pPr>
      <w:r w:rsidRPr="00613B0D">
        <w:rPr>
          <w:i/>
          <w:lang w:val="nl-NL"/>
        </w:rPr>
        <w:t>Overleg</w:t>
      </w:r>
    </w:p>
    <w:p w14:paraId="0C9F9D4C" w14:textId="61C5B18F" w:rsidR="004B16F6" w:rsidRDefault="00B62A4E" w:rsidP="004B16F6">
      <w:pPr>
        <w:rPr>
          <w:lang w:val="nl-NL"/>
        </w:rPr>
      </w:pPr>
      <w:r w:rsidRPr="00B62A4E">
        <w:rPr>
          <w:lang w:val="nl-NL"/>
        </w:rPr>
        <w:t xml:space="preserve">De </w:t>
      </w:r>
      <w:r w:rsidR="00540D35">
        <w:rPr>
          <w:lang w:val="nl-NL"/>
        </w:rPr>
        <w:t>raad van toezicht</w:t>
      </w:r>
      <w:r w:rsidR="004B16F6" w:rsidRPr="00B62A4E">
        <w:rPr>
          <w:lang w:val="nl-NL"/>
        </w:rPr>
        <w:t xml:space="preserve"> </w:t>
      </w:r>
      <w:r w:rsidR="004B16F6">
        <w:rPr>
          <w:lang w:val="nl-NL"/>
        </w:rPr>
        <w:t xml:space="preserve">vergadert ten minste viermaal per jaar waarvan eenmaal om de rapportage intern toezicht over het afgelopen jaar vast te stellen. De raad van toezicht kan alleen besluiten nemen indien ten minste twee leden hun stem kunnen uitbrengen. </w:t>
      </w:r>
    </w:p>
    <w:p w14:paraId="62623464" w14:textId="77777777" w:rsidR="004B16F6" w:rsidRDefault="004B16F6" w:rsidP="004B16F6">
      <w:pPr>
        <w:rPr>
          <w:lang w:val="nl-NL"/>
        </w:rPr>
      </w:pPr>
    </w:p>
    <w:p w14:paraId="6C80BA9D" w14:textId="1D5912C6" w:rsidR="00B62A4E" w:rsidRDefault="004B16F6" w:rsidP="004B16F6">
      <w:pPr>
        <w:rPr>
          <w:lang w:val="nl-NL"/>
        </w:rPr>
      </w:pPr>
      <w:r>
        <w:rPr>
          <w:lang w:val="nl-NL"/>
        </w:rPr>
        <w:t>Vergaderingen van de raad van toezicht en het bestuur vinden plaats zo vaak als een van beiden dit nodig acht, maar ten minste elk kwartaal. Daarnaast vergadert de raad van toezicht ten minste tweemaal per jaar met het verantwoordingsorgaan.</w:t>
      </w:r>
    </w:p>
    <w:p w14:paraId="21841485" w14:textId="77777777" w:rsidR="004B16F6" w:rsidRDefault="004B16F6" w:rsidP="004B16F6">
      <w:pPr>
        <w:rPr>
          <w:lang w:val="nl-NL"/>
        </w:rPr>
      </w:pPr>
    </w:p>
    <w:p w14:paraId="6313F2FA" w14:textId="77777777" w:rsidR="00613B0D" w:rsidRPr="00B62A4E" w:rsidRDefault="00613B0D" w:rsidP="00B62A4E">
      <w:pPr>
        <w:rPr>
          <w:lang w:val="nl-NL"/>
        </w:rPr>
      </w:pPr>
    </w:p>
    <w:p w14:paraId="0F5D57A9" w14:textId="77777777" w:rsidR="00B62A4E" w:rsidRPr="00B62A4E" w:rsidRDefault="004B16F6" w:rsidP="00613B0D">
      <w:pPr>
        <w:pStyle w:val="Kop2"/>
        <w:rPr>
          <w:rFonts w:hint="eastAsia"/>
          <w:lang w:val="nl-NL"/>
        </w:rPr>
      </w:pPr>
      <w:bookmarkStart w:id="23" w:name="_Toc231804749"/>
      <w:r>
        <w:rPr>
          <w:lang w:val="nl-NL"/>
        </w:rPr>
        <w:t>Accountant en actuaris</w:t>
      </w:r>
      <w:bookmarkEnd w:id="23"/>
    </w:p>
    <w:p w14:paraId="0AF8A505" w14:textId="77777777" w:rsidR="00613B0D" w:rsidRDefault="00613B0D" w:rsidP="00B62A4E">
      <w:pPr>
        <w:rPr>
          <w:lang w:val="nl-NL"/>
        </w:rPr>
      </w:pPr>
    </w:p>
    <w:p w14:paraId="7FDF7440" w14:textId="6B85605E" w:rsidR="00B62A4E" w:rsidRDefault="00B62A4E" w:rsidP="00B62A4E">
      <w:pPr>
        <w:rPr>
          <w:lang w:val="nl-NL"/>
        </w:rPr>
      </w:pPr>
      <w:r w:rsidRPr="00B62A4E">
        <w:rPr>
          <w:lang w:val="nl-NL"/>
        </w:rPr>
        <w:t xml:space="preserve">Het bestuur heeft Mazars als externe accountant benoemd. Deze is belast met de wettelijke controle van de jaarrekening van </w:t>
      </w:r>
      <w:r w:rsidR="001B1FA4">
        <w:rPr>
          <w:lang w:val="nl-NL"/>
        </w:rPr>
        <w:t>ons</w:t>
      </w:r>
      <w:r w:rsidR="001B1FA4" w:rsidRPr="00B62A4E">
        <w:rPr>
          <w:lang w:val="nl-NL"/>
        </w:rPr>
        <w:t xml:space="preserve"> </w:t>
      </w:r>
      <w:r w:rsidRPr="00B62A4E">
        <w:rPr>
          <w:lang w:val="nl-NL"/>
        </w:rPr>
        <w:t xml:space="preserve">fonds. De externe accountant beoordeelt de opzet en de werking van de door </w:t>
      </w:r>
      <w:r w:rsidR="001B1FA4">
        <w:rPr>
          <w:lang w:val="nl-NL"/>
        </w:rPr>
        <w:t>ons</w:t>
      </w:r>
      <w:r w:rsidR="001B1FA4" w:rsidRPr="00B62A4E">
        <w:rPr>
          <w:lang w:val="nl-NL"/>
        </w:rPr>
        <w:t xml:space="preserve"> </w:t>
      </w:r>
      <w:r w:rsidRPr="00B62A4E">
        <w:rPr>
          <w:lang w:val="nl-NL"/>
        </w:rPr>
        <w:t>fonds getroffen beheersingsmaatregelen voor zover deze relevant zijn voor de controle van de jaarrekening. De externe accountant legt verantwoording af aan het bestuur door middel van een accountantsrapport en geeft een verklaring af bij de jaarrekening.</w:t>
      </w:r>
    </w:p>
    <w:p w14:paraId="4A0EC557" w14:textId="77777777" w:rsidR="00F52609" w:rsidRDefault="00F52609" w:rsidP="00B62A4E">
      <w:pPr>
        <w:rPr>
          <w:lang w:val="nl-NL"/>
        </w:rPr>
      </w:pPr>
    </w:p>
    <w:p w14:paraId="1A93D550" w14:textId="77777777" w:rsidR="00D649AD" w:rsidRDefault="00D649AD" w:rsidP="00B62A4E">
      <w:pPr>
        <w:rPr>
          <w:lang w:val="nl-NL"/>
        </w:rPr>
      </w:pPr>
    </w:p>
    <w:p w14:paraId="34D0C58C" w14:textId="23F22E63" w:rsidR="00B62A4E" w:rsidRPr="00B62A4E" w:rsidRDefault="00B62A4E" w:rsidP="00B62A4E">
      <w:pPr>
        <w:rPr>
          <w:lang w:val="nl-NL"/>
        </w:rPr>
      </w:pPr>
      <w:r w:rsidRPr="00B62A4E">
        <w:rPr>
          <w:lang w:val="nl-NL"/>
        </w:rPr>
        <w:t>Het bestuur heeft Milliman benoemd als</w:t>
      </w:r>
      <w:r w:rsidR="00B12423">
        <w:rPr>
          <w:lang w:val="nl-NL"/>
        </w:rPr>
        <w:t xml:space="preserve"> certificerend</w:t>
      </w:r>
      <w:r w:rsidRPr="00B62A4E">
        <w:rPr>
          <w:lang w:val="nl-NL"/>
        </w:rPr>
        <w:t xml:space="preserve"> actuaris</w:t>
      </w:r>
      <w:r w:rsidR="00B12423">
        <w:rPr>
          <w:lang w:val="nl-NL"/>
        </w:rPr>
        <w:t>.</w:t>
      </w:r>
      <w:r w:rsidR="00F43E1F">
        <w:rPr>
          <w:lang w:val="nl-NL"/>
        </w:rPr>
        <w:t xml:space="preserve"> </w:t>
      </w:r>
      <w:r w:rsidRPr="00B62A4E">
        <w:rPr>
          <w:lang w:val="nl-NL"/>
        </w:rPr>
        <w:t xml:space="preserve">. Deze is verantwoordelijk voor de jaarlijkse beoordeling van de pensioenvoorzieningen van </w:t>
      </w:r>
      <w:r w:rsidR="001B1FA4">
        <w:rPr>
          <w:lang w:val="nl-NL"/>
        </w:rPr>
        <w:t>ons</w:t>
      </w:r>
      <w:r w:rsidR="001B1FA4" w:rsidRPr="00B62A4E">
        <w:rPr>
          <w:lang w:val="nl-NL"/>
        </w:rPr>
        <w:t xml:space="preserve"> </w:t>
      </w:r>
      <w:r w:rsidRPr="00B62A4E">
        <w:rPr>
          <w:lang w:val="nl-NL"/>
        </w:rPr>
        <w:t xml:space="preserve">fonds, de gehanteerde actuariële grondslagen, de kostendekkende premie, de toepassing van de prudent person bepalingen en overige wettelijk voorgeschreven onderdelen van de Pensioenwet en het toetsingskader. Op basis van deze beoordeling geeft de </w:t>
      </w:r>
      <w:r w:rsidR="00B12423">
        <w:rPr>
          <w:lang w:val="nl-NL"/>
        </w:rPr>
        <w:t xml:space="preserve">certificerend </w:t>
      </w:r>
      <w:r w:rsidRPr="00B62A4E">
        <w:rPr>
          <w:lang w:val="nl-NL"/>
        </w:rPr>
        <w:t>actuaris jaarlijks een actuariële verklaring af, inclusief een toelichtend en verklarend rapport.</w:t>
      </w:r>
      <w:r w:rsidR="00A73526">
        <w:rPr>
          <w:lang w:val="nl-NL"/>
        </w:rPr>
        <w:t xml:space="preserve"> In het verlengde van de taak als waarmerkend actuaris vervult Milliman ook de actuari</w:t>
      </w:r>
      <w:r w:rsidR="00A73526">
        <w:rPr>
          <w:rFonts w:ascii="Arial" w:hAnsi="Arial" w:cs="Arial"/>
          <w:lang w:val="nl-NL"/>
        </w:rPr>
        <w:t>ë</w:t>
      </w:r>
      <w:r w:rsidR="00A73526">
        <w:rPr>
          <w:lang w:val="nl-NL"/>
        </w:rPr>
        <w:t xml:space="preserve">le functie. Hieronder vallen taken als het vantevoren controleren van de toetspremie, het controleren van het tabellenboek en </w:t>
      </w:r>
      <w:r w:rsidR="006F1546">
        <w:rPr>
          <w:lang w:val="nl-NL"/>
        </w:rPr>
        <w:t>de</w:t>
      </w:r>
      <w:r w:rsidR="00A73526">
        <w:rPr>
          <w:lang w:val="nl-NL"/>
        </w:rPr>
        <w:t xml:space="preserve"> controle van de K401-staat voor De Nederlandsche Bank.</w:t>
      </w:r>
      <w:r w:rsidRPr="00B62A4E">
        <w:rPr>
          <w:lang w:val="nl-NL"/>
        </w:rPr>
        <w:t xml:space="preserve"> Als waarborg voor de onafhankelijkheid verricht de waarmerkend actuaris geen advieswerkzaamheden ten behoeve van </w:t>
      </w:r>
      <w:r w:rsidR="001B1FA4">
        <w:rPr>
          <w:lang w:val="nl-NL"/>
        </w:rPr>
        <w:t>ons</w:t>
      </w:r>
      <w:r w:rsidR="001B1FA4" w:rsidRPr="00B62A4E">
        <w:rPr>
          <w:lang w:val="nl-NL"/>
        </w:rPr>
        <w:t xml:space="preserve"> </w:t>
      </w:r>
      <w:r w:rsidRPr="00B62A4E">
        <w:rPr>
          <w:lang w:val="nl-NL"/>
        </w:rPr>
        <w:t xml:space="preserve">fonds. </w:t>
      </w:r>
    </w:p>
    <w:p w14:paraId="48376420" w14:textId="77777777" w:rsidR="00613B0D" w:rsidRDefault="00613B0D" w:rsidP="00B62A4E">
      <w:pPr>
        <w:rPr>
          <w:lang w:val="nl-NL"/>
        </w:rPr>
      </w:pPr>
    </w:p>
    <w:p w14:paraId="1008F86B" w14:textId="77777777" w:rsidR="00B62A4E" w:rsidRPr="00B62A4E" w:rsidRDefault="00B62A4E" w:rsidP="00613B0D">
      <w:pPr>
        <w:pStyle w:val="Kop2"/>
        <w:rPr>
          <w:rFonts w:hint="eastAsia"/>
          <w:lang w:val="nl-NL"/>
        </w:rPr>
      </w:pPr>
      <w:bookmarkStart w:id="24" w:name="_Toc231804750"/>
      <w:r w:rsidRPr="00B62A4E">
        <w:rPr>
          <w:lang w:val="nl-NL"/>
        </w:rPr>
        <w:t>Uitbestede werkzaamheden</w:t>
      </w:r>
      <w:bookmarkEnd w:id="24"/>
    </w:p>
    <w:p w14:paraId="432EDDB7" w14:textId="77777777" w:rsidR="00613B0D" w:rsidRDefault="00613B0D" w:rsidP="00B62A4E">
      <w:pPr>
        <w:rPr>
          <w:lang w:val="nl-NL"/>
        </w:rPr>
      </w:pPr>
    </w:p>
    <w:p w14:paraId="77FC7BD6" w14:textId="37901654" w:rsidR="00B62A4E" w:rsidRPr="00B62A4E" w:rsidRDefault="005430F4" w:rsidP="00B62A4E">
      <w:pPr>
        <w:rPr>
          <w:lang w:val="nl-NL"/>
        </w:rPr>
      </w:pPr>
      <w:r>
        <w:rPr>
          <w:lang w:val="nl-NL"/>
        </w:rPr>
        <w:t>Ons fonds</w:t>
      </w:r>
      <w:r w:rsidR="00B62A4E" w:rsidRPr="00B62A4E">
        <w:rPr>
          <w:lang w:val="nl-NL"/>
        </w:rPr>
        <w:t xml:space="preserve"> heeft delen van de bedrijfsprocessen uitbesteed aan externe partijen. Aan uitbesteding is voor </w:t>
      </w:r>
      <w:r>
        <w:rPr>
          <w:lang w:val="nl-NL"/>
        </w:rPr>
        <w:t>ons</w:t>
      </w:r>
      <w:r w:rsidRPr="00B62A4E">
        <w:rPr>
          <w:lang w:val="nl-NL"/>
        </w:rPr>
        <w:t xml:space="preserve"> </w:t>
      </w:r>
      <w:r w:rsidR="00B62A4E" w:rsidRPr="00B62A4E">
        <w:rPr>
          <w:lang w:val="nl-NL"/>
        </w:rPr>
        <w:t xml:space="preserve">fonds een aantal risico’s verbonden. Het bestuur heeft daarom beleid vastgesteld met betrekking tot de selectie van uitbestedingspartners en de beheersing van de risico’s die samenhangen met uitbesteding. Uitgangspunt bij uitbesteding is dat het bestuur te allen tijde verantwoordelijk blijft voor de beheersing van het door </w:t>
      </w:r>
      <w:r>
        <w:rPr>
          <w:lang w:val="nl-NL"/>
        </w:rPr>
        <w:t>ons</w:t>
      </w:r>
      <w:r w:rsidRPr="00B62A4E">
        <w:rPr>
          <w:lang w:val="nl-NL"/>
        </w:rPr>
        <w:t xml:space="preserve"> </w:t>
      </w:r>
      <w:r w:rsidR="00B62A4E" w:rsidRPr="00B62A4E">
        <w:rPr>
          <w:lang w:val="nl-NL"/>
        </w:rPr>
        <w:t xml:space="preserve">fonds uit te voeren beleid, ook voor het gedeelte van de werkzaamheden dat is uitbesteed. </w:t>
      </w:r>
    </w:p>
    <w:p w14:paraId="2C27B016" w14:textId="77777777" w:rsidR="00B62A4E" w:rsidRPr="00B62A4E" w:rsidRDefault="00B62A4E" w:rsidP="00B62A4E">
      <w:pPr>
        <w:rPr>
          <w:lang w:val="nl-NL"/>
        </w:rPr>
      </w:pPr>
    </w:p>
    <w:p w14:paraId="099B12D6" w14:textId="77777777" w:rsidR="00B62A4E" w:rsidRPr="00B62A4E" w:rsidRDefault="00B62A4E" w:rsidP="00B62A4E">
      <w:pPr>
        <w:rPr>
          <w:lang w:val="nl-NL"/>
        </w:rPr>
      </w:pPr>
      <w:r w:rsidRPr="00B62A4E">
        <w:rPr>
          <w:lang w:val="nl-NL"/>
        </w:rPr>
        <w:t>Voordat door het bestuur tot uitbesteding van werkzaamheden wordt besloten, voert de integraal risicomanager een risicoanalyse voor het bestuur uit om te beoordelen of en onder welke omstandigheden de beleidsmatige doelstellingen en randvoorwaarden voor uitbesteding kunnen worden gerealiseerd. Indien tot uitbesteding wordt besloten wordt het uitbestedingsproces, zoals dat is vastgelegd in het uitbestedingsbeleid</w:t>
      </w:r>
      <w:r w:rsidR="00792C76">
        <w:rPr>
          <w:lang w:val="nl-NL"/>
        </w:rPr>
        <w:t>,</w:t>
      </w:r>
      <w:r w:rsidRPr="00B62A4E">
        <w:rPr>
          <w:lang w:val="nl-NL"/>
        </w:rPr>
        <w:t xml:space="preserve"> doorlopen. Aan de hand van de uitkomsten van het selectieproces, bepaalt het bestuur welke partij de werkzaamheden voor het</w:t>
      </w:r>
      <w:r w:rsidR="004454E4">
        <w:rPr>
          <w:lang w:val="nl-NL"/>
        </w:rPr>
        <w:t xml:space="preserve"> </w:t>
      </w:r>
      <w:r w:rsidRPr="00B62A4E">
        <w:rPr>
          <w:lang w:val="nl-NL"/>
        </w:rPr>
        <w:t xml:space="preserve">fonds gaat uitvoeren en volgen de contractsonderhandelingen. </w:t>
      </w:r>
    </w:p>
    <w:p w14:paraId="1D2E633A" w14:textId="77777777" w:rsidR="00B62A4E" w:rsidRPr="00B62A4E" w:rsidRDefault="00B62A4E" w:rsidP="00B62A4E">
      <w:pPr>
        <w:rPr>
          <w:lang w:val="nl-NL"/>
        </w:rPr>
      </w:pPr>
    </w:p>
    <w:p w14:paraId="17A1667D" w14:textId="2DB55ACD" w:rsidR="00B62A4E" w:rsidRPr="00B62A4E" w:rsidRDefault="00B62A4E" w:rsidP="00B62A4E">
      <w:pPr>
        <w:rPr>
          <w:lang w:val="nl-NL"/>
        </w:rPr>
      </w:pPr>
      <w:r w:rsidRPr="00B62A4E">
        <w:rPr>
          <w:lang w:val="nl-NL"/>
        </w:rPr>
        <w:t xml:space="preserve">Om ervoor te zorgen dat de kwaliteit en continuïteit van de uitbestede werkzaamheden blijvend zijn gewaarborgd, toetst het bestuursbureau in opdracht van het bestuur of </w:t>
      </w:r>
      <w:r w:rsidR="005A26C9">
        <w:rPr>
          <w:lang w:val="nl-NL"/>
        </w:rPr>
        <w:t>ons</w:t>
      </w:r>
      <w:r w:rsidR="005A26C9" w:rsidRPr="00B62A4E">
        <w:rPr>
          <w:lang w:val="nl-NL"/>
        </w:rPr>
        <w:t xml:space="preserve"> </w:t>
      </w:r>
      <w:r w:rsidRPr="00B62A4E">
        <w:rPr>
          <w:lang w:val="nl-NL"/>
        </w:rPr>
        <w:t xml:space="preserve">fonds voldoende in control blijft en of de wijze waarop de uitbestede werkzaamheden worden uitgevoerd conform de gemaakte afspraken en kwaliteit is. Het bestuursbureau heeft hiertoe regulier overleg met de uitbestedingspartijen en ontvangt (verantwoordings)rapportages over de uitvoering van de uitbestede werkzaamheden. Daarnaast kunnen ook controles bij de uitbestedingspartijen zelf plaatsvinden en worden eisen gesteld aan onafhankelijke certificering door de uitbestedingspartners van hun processen. </w:t>
      </w:r>
    </w:p>
    <w:p w14:paraId="25E588A7" w14:textId="77777777" w:rsidR="00B62A4E" w:rsidRPr="00B62A4E" w:rsidRDefault="00B62A4E" w:rsidP="00B62A4E">
      <w:pPr>
        <w:rPr>
          <w:lang w:val="nl-NL"/>
        </w:rPr>
      </w:pPr>
    </w:p>
    <w:p w14:paraId="71B82DD4" w14:textId="21692C7D" w:rsidR="00B62A4E" w:rsidRPr="00B62A4E" w:rsidRDefault="00B62A4E" w:rsidP="00B62A4E">
      <w:pPr>
        <w:rPr>
          <w:lang w:val="nl-NL"/>
        </w:rPr>
      </w:pPr>
      <w:r w:rsidRPr="00B62A4E">
        <w:rPr>
          <w:lang w:val="nl-NL"/>
        </w:rPr>
        <w:t xml:space="preserve">De integraal risicomanager van het fonds adviseert het bestuur over de vraag of </w:t>
      </w:r>
      <w:r w:rsidR="005A26C9">
        <w:rPr>
          <w:lang w:val="nl-NL"/>
        </w:rPr>
        <w:t>ons</w:t>
      </w:r>
      <w:r w:rsidR="005A26C9" w:rsidRPr="00B62A4E">
        <w:rPr>
          <w:lang w:val="nl-NL"/>
        </w:rPr>
        <w:t xml:space="preserve"> </w:t>
      </w:r>
      <w:r w:rsidRPr="00B62A4E">
        <w:rPr>
          <w:lang w:val="nl-NL"/>
        </w:rPr>
        <w:t xml:space="preserve">fonds voldoende in control is met betrekking tot de uitbestede processen. Indien het bestuur van mening is dat het pensioenfonds onvoldoende in control is, zal het bestuur via het bestuursbureau maatregelen treffen om dit te herstellen. </w:t>
      </w:r>
    </w:p>
    <w:p w14:paraId="41C322F0" w14:textId="77777777" w:rsidR="00B62A4E" w:rsidRPr="00B62A4E" w:rsidRDefault="00B62A4E" w:rsidP="00B62A4E">
      <w:pPr>
        <w:rPr>
          <w:lang w:val="nl-NL"/>
        </w:rPr>
      </w:pPr>
    </w:p>
    <w:p w14:paraId="76203404" w14:textId="77777777" w:rsidR="00B62A4E" w:rsidRPr="00613B0D" w:rsidRDefault="00B62A4E" w:rsidP="00B62A4E">
      <w:pPr>
        <w:rPr>
          <w:i/>
          <w:lang w:val="nl-NL"/>
        </w:rPr>
      </w:pPr>
      <w:r w:rsidRPr="00613B0D">
        <w:rPr>
          <w:i/>
          <w:lang w:val="nl-NL"/>
        </w:rPr>
        <w:t>Pensioenadministratie</w:t>
      </w:r>
    </w:p>
    <w:p w14:paraId="4C786DB2" w14:textId="368D2763" w:rsidR="00C70016" w:rsidRDefault="00B62A4E" w:rsidP="00B62A4E">
      <w:pPr>
        <w:rPr>
          <w:lang w:val="nl-NL"/>
        </w:rPr>
      </w:pPr>
      <w:r w:rsidRPr="00B62A4E">
        <w:rPr>
          <w:lang w:val="nl-NL"/>
        </w:rPr>
        <w:t xml:space="preserve">AZL administreert de bij </w:t>
      </w:r>
      <w:r w:rsidR="001B2EC0">
        <w:rPr>
          <w:lang w:val="nl-NL"/>
        </w:rPr>
        <w:t>het fonds</w:t>
      </w:r>
      <w:r w:rsidRPr="00B62A4E">
        <w:rPr>
          <w:lang w:val="nl-NL"/>
        </w:rPr>
        <w:t xml:space="preserve"> ondergebrachte pensioenregeling. Daartoe is een overeenkomst afgesloten inzake de uitbesteding van taken in het kader van de pensioenuitvoering, inclusief een service level agreement en een bewerkersovereenkomst ter waarborging van de bescherming van data in overeenstemming met privacywetgeving. Periodiek rapporteert AZL over de aan haar uitbestede werkzaamheden en is er overleg tussen AZL en het bestuursbureau over operationele zaken. De uitbestede taken betreffen met name:</w:t>
      </w:r>
    </w:p>
    <w:p w14:paraId="0634E6F6" w14:textId="77777777" w:rsidR="00B62A4E" w:rsidRPr="00B62A4E" w:rsidRDefault="00B62A4E" w:rsidP="00B62A4E">
      <w:pPr>
        <w:rPr>
          <w:lang w:val="nl-NL"/>
        </w:rPr>
      </w:pPr>
    </w:p>
    <w:p w14:paraId="43152366" w14:textId="77777777" w:rsidR="00B62A4E" w:rsidRPr="00613B0D" w:rsidRDefault="00B62A4E" w:rsidP="001E699B">
      <w:pPr>
        <w:pStyle w:val="Lijstalinea"/>
        <w:numPr>
          <w:ilvl w:val="0"/>
          <w:numId w:val="14"/>
        </w:numPr>
        <w:rPr>
          <w:lang w:val="nl-NL"/>
        </w:rPr>
      </w:pPr>
      <w:r w:rsidRPr="00613B0D">
        <w:rPr>
          <w:lang w:val="nl-NL"/>
        </w:rPr>
        <w:t>Pensioenadministratie en (wettelijke) deelnemerscommunicaties (waaronder het pensioenloket voor de deelnemers)</w:t>
      </w:r>
      <w:r w:rsidR="0023776C">
        <w:rPr>
          <w:lang w:val="nl-NL"/>
        </w:rPr>
        <w:t>.</w:t>
      </w:r>
    </w:p>
    <w:p w14:paraId="1CFBE2D0" w14:textId="77777777" w:rsidR="00B62A4E" w:rsidRPr="00613B0D" w:rsidRDefault="00B62A4E" w:rsidP="001E699B">
      <w:pPr>
        <w:pStyle w:val="Lijstalinea"/>
        <w:numPr>
          <w:ilvl w:val="0"/>
          <w:numId w:val="14"/>
        </w:numPr>
        <w:rPr>
          <w:lang w:val="nl-NL"/>
        </w:rPr>
      </w:pPr>
      <w:r w:rsidRPr="00613B0D">
        <w:rPr>
          <w:lang w:val="nl-NL"/>
        </w:rPr>
        <w:t>Financiële administratie en (voorbereiding van) externe rapportages</w:t>
      </w:r>
      <w:r w:rsidR="0023776C">
        <w:rPr>
          <w:lang w:val="nl-NL"/>
        </w:rPr>
        <w:t>.</w:t>
      </w:r>
    </w:p>
    <w:p w14:paraId="0639087A" w14:textId="77777777" w:rsidR="00B62A4E" w:rsidRPr="00613B0D" w:rsidRDefault="00B62A4E" w:rsidP="001E699B">
      <w:pPr>
        <w:pStyle w:val="Lijstalinea"/>
        <w:numPr>
          <w:ilvl w:val="0"/>
          <w:numId w:val="14"/>
        </w:numPr>
        <w:rPr>
          <w:lang w:val="nl-NL"/>
        </w:rPr>
      </w:pPr>
      <w:r w:rsidRPr="00613B0D">
        <w:rPr>
          <w:lang w:val="nl-NL"/>
        </w:rPr>
        <w:t>Actuariële en pensioen-juridische diensten</w:t>
      </w:r>
      <w:r w:rsidR="00792C76">
        <w:rPr>
          <w:lang w:val="nl-NL"/>
        </w:rPr>
        <w:t>.</w:t>
      </w:r>
      <w:r w:rsidR="00613B0D">
        <w:rPr>
          <w:lang w:val="nl-NL"/>
        </w:rPr>
        <w:br/>
      </w:r>
    </w:p>
    <w:p w14:paraId="5506EBAA" w14:textId="6043DA89" w:rsidR="00B62A4E" w:rsidRPr="00613B0D" w:rsidRDefault="00B62A4E" w:rsidP="00B62A4E">
      <w:pPr>
        <w:rPr>
          <w:i/>
          <w:lang w:val="nl-NL"/>
        </w:rPr>
      </w:pPr>
      <w:r w:rsidRPr="00613B0D">
        <w:rPr>
          <w:i/>
          <w:lang w:val="nl-NL"/>
        </w:rPr>
        <w:t>Bewaarneming van effecten en beleggingsadministratie</w:t>
      </w:r>
    </w:p>
    <w:p w14:paraId="058BAD35" w14:textId="201FBC4B" w:rsidR="00B62A4E" w:rsidRPr="00B62A4E" w:rsidRDefault="00B62A4E" w:rsidP="00B62A4E">
      <w:pPr>
        <w:rPr>
          <w:lang w:val="nl-NL"/>
        </w:rPr>
      </w:pPr>
      <w:r w:rsidRPr="00B62A4E">
        <w:rPr>
          <w:lang w:val="nl-NL"/>
        </w:rPr>
        <w:t xml:space="preserve">De bewaarneming van de effecten vindt plaats bij </w:t>
      </w:r>
      <w:r w:rsidR="00A43B13">
        <w:rPr>
          <w:lang w:val="nl-NL"/>
        </w:rPr>
        <w:t>State Street</w:t>
      </w:r>
      <w:r w:rsidR="00C54240">
        <w:rPr>
          <w:lang w:val="nl-NL"/>
        </w:rPr>
        <w:t xml:space="preserve"> International GmbH (hierna: State Street)</w:t>
      </w:r>
      <w:r w:rsidR="00A43B13">
        <w:rPr>
          <w:lang w:val="nl-NL"/>
        </w:rPr>
        <w:t>. Datzelfde geldt voor d</w:t>
      </w:r>
      <w:r w:rsidRPr="00B62A4E">
        <w:rPr>
          <w:lang w:val="nl-NL"/>
        </w:rPr>
        <w:t xml:space="preserve">e beleggingsadministratie, de (voorbereiding van) externe rapportages over beleggingen, de monitoring van beleggingsrichtlijnen, de meting van beleggingsrendementen en bepaalde risicomanagementdiensten. De dienstverlening van </w:t>
      </w:r>
      <w:r w:rsidR="00A43B13">
        <w:rPr>
          <w:lang w:val="nl-NL"/>
        </w:rPr>
        <w:t>State Street</w:t>
      </w:r>
      <w:r w:rsidRPr="00B62A4E">
        <w:rPr>
          <w:lang w:val="nl-NL"/>
        </w:rPr>
        <w:t xml:space="preserve"> is vastgelegd in diverse overeenkomsten, waaronder de bewaarovereenkomst, een service level agreement en dienstenspecificaties. </w:t>
      </w:r>
    </w:p>
    <w:p w14:paraId="5A807290" w14:textId="77777777" w:rsidR="00B62A4E" w:rsidRPr="00B62A4E" w:rsidRDefault="00B62A4E" w:rsidP="00B62A4E">
      <w:pPr>
        <w:rPr>
          <w:lang w:val="nl-NL"/>
        </w:rPr>
      </w:pPr>
    </w:p>
    <w:p w14:paraId="0CB7F3E1" w14:textId="77777777" w:rsidR="00B62A4E" w:rsidRPr="00613B0D" w:rsidRDefault="00B62A4E" w:rsidP="00B62A4E">
      <w:pPr>
        <w:rPr>
          <w:i/>
          <w:lang w:val="nl-NL"/>
        </w:rPr>
      </w:pPr>
      <w:r w:rsidRPr="00613B0D">
        <w:rPr>
          <w:i/>
          <w:lang w:val="nl-NL"/>
        </w:rPr>
        <w:t>Beheergedeelte van de beleggingen</w:t>
      </w:r>
    </w:p>
    <w:p w14:paraId="0813B1FE" w14:textId="7C0ED7DA" w:rsidR="00235D6D" w:rsidRPr="008814A0" w:rsidRDefault="00235D6D" w:rsidP="00235D6D">
      <w:pPr>
        <w:rPr>
          <w:lang w:val="nl-NL"/>
        </w:rPr>
      </w:pPr>
      <w:r w:rsidRPr="008814A0">
        <w:rPr>
          <w:lang w:val="nl-NL"/>
        </w:rPr>
        <w:t>Het vermogen wordt binnen de door het bestuur ingestelde kaders gemonitord</w:t>
      </w:r>
      <w:r w:rsidR="00A37E90">
        <w:rPr>
          <w:lang w:val="nl-NL"/>
        </w:rPr>
        <w:t>,</w:t>
      </w:r>
      <w:r w:rsidRPr="008814A0">
        <w:rPr>
          <w:lang w:val="nl-NL"/>
        </w:rPr>
        <w:t xml:space="preserve"> aangestuurd </w:t>
      </w:r>
      <w:r w:rsidR="00A37E90">
        <w:rPr>
          <w:lang w:val="nl-NL"/>
        </w:rPr>
        <w:t xml:space="preserve">en geïmplementeerd </w:t>
      </w:r>
      <w:r w:rsidRPr="008814A0">
        <w:rPr>
          <w:lang w:val="nl-NL"/>
        </w:rPr>
        <w:t>door het bestuursbureau</w:t>
      </w:r>
      <w:r w:rsidR="00BB15F6">
        <w:rPr>
          <w:lang w:val="nl-NL"/>
        </w:rPr>
        <w:t>.</w:t>
      </w:r>
      <w:r w:rsidRPr="008814A0">
        <w:rPr>
          <w:lang w:val="nl-NL"/>
        </w:rPr>
        <w:t xml:space="preserve"> De allocatie en de matching portefeuille wordt door het bestuursbureau aangestuurd en beheerd. Voor de invulling van de return portefeuille wordt gebruik gemaakt van door externe vermogensbeheerders beheerde discretionaire mandaten en/of (beursgenoteerde) beleggingsfondsen.</w:t>
      </w:r>
    </w:p>
    <w:p w14:paraId="76A01A0A" w14:textId="77777777" w:rsidR="00B62A4E" w:rsidRPr="00C6025F" w:rsidRDefault="00613B0D" w:rsidP="00B62A4E">
      <w:pPr>
        <w:rPr>
          <w:lang w:val="nl-NL"/>
        </w:rPr>
      </w:pPr>
      <w:r w:rsidRPr="00C6025F">
        <w:rPr>
          <w:lang w:val="nl-NL"/>
        </w:rPr>
        <w:t>.</w:t>
      </w:r>
    </w:p>
    <w:p w14:paraId="7713D762" w14:textId="77777777" w:rsidR="00825AED" w:rsidRPr="00C6025F" w:rsidRDefault="00825AED" w:rsidP="00825AED">
      <w:pPr>
        <w:rPr>
          <w:i/>
          <w:lang w:val="nl-NL"/>
        </w:rPr>
      </w:pPr>
      <w:r w:rsidRPr="00C6025F">
        <w:rPr>
          <w:i/>
          <w:lang w:val="nl-NL"/>
        </w:rPr>
        <w:t>Compliance officer</w:t>
      </w:r>
    </w:p>
    <w:p w14:paraId="1BA02850" w14:textId="66ACADD8" w:rsidR="00825AED" w:rsidRDefault="00775D02" w:rsidP="00EA4E15">
      <w:pPr>
        <w:autoSpaceDE w:val="0"/>
        <w:autoSpaceDN w:val="0"/>
        <w:adjustRightInd w:val="0"/>
        <w:spacing w:line="240" w:lineRule="auto"/>
        <w:rPr>
          <w:lang w:val="nl-NL"/>
        </w:rPr>
      </w:pPr>
      <w:r w:rsidRPr="00C6025F">
        <w:rPr>
          <w:lang w:val="nl-NL"/>
        </w:rPr>
        <w:t xml:space="preserve">Het bestuur heeft </w:t>
      </w:r>
      <w:r w:rsidR="003509F2" w:rsidRPr="00C6025F">
        <w:rPr>
          <w:lang w:val="nl-NL"/>
        </w:rPr>
        <w:t>Projective Group</w:t>
      </w:r>
      <w:r w:rsidRPr="00C6025F">
        <w:rPr>
          <w:lang w:val="nl-NL"/>
        </w:rPr>
        <w:t xml:space="preserve"> benoemd als compliance officer. </w:t>
      </w:r>
      <w:r w:rsidR="00A94BC3">
        <w:rPr>
          <w:lang w:val="nl-NL"/>
        </w:rPr>
        <w:t xml:space="preserve">De compliance officer </w:t>
      </w:r>
      <w:r w:rsidR="00A94BC3" w:rsidRPr="00EA4E15">
        <w:rPr>
          <w:lang w:val="nl-NL"/>
        </w:rPr>
        <w:t>ziet</w:t>
      </w:r>
      <w:r w:rsidR="00A94BC3" w:rsidRPr="00A94BC3">
        <w:rPr>
          <w:lang w:val="nl-NL"/>
        </w:rPr>
        <w:t xml:space="preserve"> toe op de naleving van de</w:t>
      </w:r>
      <w:r w:rsidR="00A94BC3">
        <w:rPr>
          <w:lang w:val="nl-NL"/>
        </w:rPr>
        <w:t xml:space="preserve"> </w:t>
      </w:r>
      <w:r w:rsidR="00A94BC3" w:rsidRPr="00EA4E15">
        <w:rPr>
          <w:lang w:val="nl-NL"/>
        </w:rPr>
        <w:t xml:space="preserve">gedragscode en de jaarlijkse rapportage hierover. </w:t>
      </w:r>
      <w:r w:rsidR="00A94BC3">
        <w:rPr>
          <w:lang w:val="nl-NL"/>
        </w:rPr>
        <w:t>Tevens houdt de</w:t>
      </w:r>
      <w:r w:rsidR="0078107D" w:rsidRPr="0078107D">
        <w:rPr>
          <w:lang w:val="nl-NL"/>
        </w:rPr>
        <w:t xml:space="preserve"> </w:t>
      </w:r>
      <w:r w:rsidR="0078107D">
        <w:rPr>
          <w:lang w:val="nl-NL"/>
        </w:rPr>
        <w:t>c</w:t>
      </w:r>
      <w:r w:rsidR="00A94BC3" w:rsidRPr="00EA4E15">
        <w:rPr>
          <w:lang w:val="nl-NL"/>
        </w:rPr>
        <w:t>ompliance officer toezicht op de</w:t>
      </w:r>
      <w:r w:rsidR="00C44395">
        <w:rPr>
          <w:lang w:val="nl-NL"/>
        </w:rPr>
        <w:t xml:space="preserve"> </w:t>
      </w:r>
      <w:r w:rsidR="00A94BC3" w:rsidRPr="00EA4E15">
        <w:rPr>
          <w:lang w:val="nl-NL"/>
        </w:rPr>
        <w:t>deugdelijkheid en effectiviteit van d</w:t>
      </w:r>
      <w:r w:rsidR="00A94BC3" w:rsidRPr="00A94BC3">
        <w:rPr>
          <w:lang w:val="nl-NL"/>
        </w:rPr>
        <w:t>e interne regels en procedures</w:t>
      </w:r>
      <w:r w:rsidR="00A94BC3">
        <w:rPr>
          <w:lang w:val="nl-NL"/>
        </w:rPr>
        <w:t xml:space="preserve"> en geeft hij</w:t>
      </w:r>
      <w:r w:rsidR="00A94BC3" w:rsidRPr="00A94BC3">
        <w:rPr>
          <w:lang w:val="nl-NL"/>
        </w:rPr>
        <w:t xml:space="preserve"> gevraagd én ongevraagd advies</w:t>
      </w:r>
      <w:r w:rsidR="00A94BC3">
        <w:rPr>
          <w:lang w:val="nl-NL"/>
        </w:rPr>
        <w:t xml:space="preserve"> </w:t>
      </w:r>
      <w:r w:rsidR="00A94BC3" w:rsidRPr="00EA4E15">
        <w:rPr>
          <w:lang w:val="nl-NL"/>
        </w:rPr>
        <w:t>over de uitleg en toepassing van de gedragscode.</w:t>
      </w:r>
    </w:p>
    <w:p w14:paraId="50CDBEE1" w14:textId="77777777" w:rsidR="00B12423" w:rsidRDefault="00B12423" w:rsidP="00EA4E15">
      <w:pPr>
        <w:autoSpaceDE w:val="0"/>
        <w:autoSpaceDN w:val="0"/>
        <w:adjustRightInd w:val="0"/>
        <w:spacing w:line="240" w:lineRule="auto"/>
        <w:rPr>
          <w:lang w:val="nl-NL"/>
        </w:rPr>
      </w:pPr>
    </w:p>
    <w:p w14:paraId="06004E19" w14:textId="61BD1F5E" w:rsidR="00B12423" w:rsidRPr="008814A0" w:rsidRDefault="00B12423" w:rsidP="00EA4E15">
      <w:pPr>
        <w:autoSpaceDE w:val="0"/>
        <w:autoSpaceDN w:val="0"/>
        <w:adjustRightInd w:val="0"/>
        <w:spacing w:line="240" w:lineRule="auto"/>
        <w:rPr>
          <w:lang w:val="nl-NL"/>
        </w:rPr>
      </w:pPr>
      <w:r>
        <w:rPr>
          <w:lang w:val="nl-NL"/>
        </w:rPr>
        <w:t>Binnen Projective Group is ook de functie van vertrouwenspersoon belegd.</w:t>
      </w:r>
    </w:p>
    <w:p w14:paraId="6A3740DA" w14:textId="77777777" w:rsidR="00825AED" w:rsidRDefault="00825AED" w:rsidP="00B62A4E">
      <w:pPr>
        <w:rPr>
          <w:lang w:val="nl-NL"/>
        </w:rPr>
      </w:pPr>
    </w:p>
    <w:p w14:paraId="4E85F21E" w14:textId="77777777" w:rsidR="007441C1" w:rsidRPr="006B5FB0" w:rsidRDefault="007441C1" w:rsidP="007441C1">
      <w:pPr>
        <w:autoSpaceDE w:val="0"/>
        <w:autoSpaceDN w:val="0"/>
        <w:adjustRightInd w:val="0"/>
        <w:spacing w:line="240" w:lineRule="auto"/>
        <w:rPr>
          <w:rFonts w:cs="Calibri"/>
          <w:i/>
          <w:iCs/>
          <w:color w:val="000000"/>
          <w:szCs w:val="20"/>
          <w:lang w:val="nl-NL"/>
        </w:rPr>
      </w:pPr>
      <w:r w:rsidRPr="006B5FB0">
        <w:rPr>
          <w:rFonts w:cs="Calibri"/>
          <w:i/>
          <w:iCs/>
          <w:color w:val="000000"/>
          <w:szCs w:val="20"/>
          <w:lang w:val="nl-NL"/>
        </w:rPr>
        <w:t xml:space="preserve">Sleutelfuncties </w:t>
      </w:r>
    </w:p>
    <w:p w14:paraId="03A657F3" w14:textId="77777777" w:rsidR="007441C1" w:rsidRDefault="007441C1" w:rsidP="007441C1">
      <w:pPr>
        <w:autoSpaceDE w:val="0"/>
        <w:autoSpaceDN w:val="0"/>
        <w:adjustRightInd w:val="0"/>
        <w:spacing w:line="240" w:lineRule="auto"/>
        <w:rPr>
          <w:rFonts w:cs="Calibri"/>
          <w:color w:val="000000"/>
          <w:szCs w:val="20"/>
          <w:lang w:val="nl-NL"/>
        </w:rPr>
      </w:pPr>
    </w:p>
    <w:p w14:paraId="64BFE973" w14:textId="5ADC6BDC" w:rsidR="00613B0D" w:rsidRDefault="000E5F21" w:rsidP="00B62A4E">
      <w:pPr>
        <w:rPr>
          <w:rFonts w:cs="Calibri"/>
          <w:color w:val="000000"/>
          <w:szCs w:val="20"/>
          <w:lang w:val="nl-NL"/>
        </w:rPr>
      </w:pPr>
      <w:r>
        <w:rPr>
          <w:rFonts w:cs="Calibri"/>
          <w:color w:val="000000"/>
          <w:szCs w:val="20"/>
          <w:lang w:val="nl-NL"/>
        </w:rPr>
        <w:t xml:space="preserve">De sleutelfunctiehouder actuarieel is tevens de </w:t>
      </w:r>
      <w:r w:rsidR="00006D27">
        <w:rPr>
          <w:rFonts w:cs="Calibri"/>
          <w:color w:val="000000"/>
          <w:szCs w:val="20"/>
          <w:lang w:val="nl-NL"/>
        </w:rPr>
        <w:t>certificerend</w:t>
      </w:r>
      <w:r>
        <w:rPr>
          <w:rFonts w:cs="Calibri"/>
          <w:color w:val="000000"/>
          <w:szCs w:val="20"/>
          <w:lang w:val="nl-NL"/>
        </w:rPr>
        <w:t xml:space="preserve"> actuaris van </w:t>
      </w:r>
      <w:r w:rsidR="00614A65">
        <w:rPr>
          <w:rFonts w:cs="Calibri"/>
          <w:color w:val="000000"/>
          <w:szCs w:val="20"/>
          <w:lang w:val="nl-NL"/>
        </w:rPr>
        <w:t xml:space="preserve">ons </w:t>
      </w:r>
      <w:r>
        <w:rPr>
          <w:rFonts w:cs="Calibri"/>
          <w:color w:val="000000"/>
          <w:szCs w:val="20"/>
          <w:lang w:val="nl-NL"/>
        </w:rPr>
        <w:t xml:space="preserve">fonds. De rol van sleutelfunctiehouder risk wordt bekleed door een externe.   </w:t>
      </w:r>
      <w:r w:rsidR="00B12423">
        <w:rPr>
          <w:rFonts w:cs="Calibri"/>
          <w:color w:val="000000"/>
          <w:szCs w:val="20"/>
          <w:lang w:val="nl-NL"/>
        </w:rPr>
        <w:t>De sleutelfunctiehouder internal audit is door het fonds geïnsourced.</w:t>
      </w:r>
    </w:p>
    <w:p w14:paraId="71509B2D" w14:textId="77777777" w:rsidR="00B12423" w:rsidRPr="00B62A4E" w:rsidRDefault="00B12423" w:rsidP="00B62A4E">
      <w:pPr>
        <w:rPr>
          <w:lang w:val="nl-NL"/>
        </w:rPr>
      </w:pPr>
    </w:p>
    <w:p w14:paraId="316BBD17" w14:textId="77777777" w:rsidR="00B62A4E" w:rsidRPr="00B62A4E" w:rsidRDefault="00B62A4E" w:rsidP="00613B0D">
      <w:pPr>
        <w:pStyle w:val="Kop2"/>
        <w:rPr>
          <w:rFonts w:hint="eastAsia"/>
          <w:lang w:val="nl-NL"/>
        </w:rPr>
      </w:pPr>
      <w:bookmarkStart w:id="25" w:name="_Toc231804751"/>
      <w:r w:rsidRPr="00B62A4E">
        <w:rPr>
          <w:lang w:val="nl-NL"/>
        </w:rPr>
        <w:t>Verslaggeving</w:t>
      </w:r>
      <w:bookmarkEnd w:id="25"/>
    </w:p>
    <w:p w14:paraId="0D41ECCE" w14:textId="77777777" w:rsidR="00613B0D" w:rsidRDefault="00613B0D" w:rsidP="00B62A4E">
      <w:pPr>
        <w:rPr>
          <w:lang w:val="nl-NL"/>
        </w:rPr>
      </w:pPr>
    </w:p>
    <w:p w14:paraId="35265F52" w14:textId="77777777" w:rsidR="00B62A4E" w:rsidRPr="00613B0D" w:rsidRDefault="00B62A4E" w:rsidP="00B62A4E">
      <w:pPr>
        <w:rPr>
          <w:i/>
          <w:lang w:val="nl-NL"/>
        </w:rPr>
      </w:pPr>
      <w:r w:rsidRPr="00613B0D">
        <w:rPr>
          <w:i/>
          <w:lang w:val="nl-NL"/>
        </w:rPr>
        <w:t>Bedrijfsvoering</w:t>
      </w:r>
    </w:p>
    <w:p w14:paraId="1C23A761" w14:textId="2FBE70AF" w:rsidR="00B62A4E" w:rsidRPr="00B62A4E" w:rsidRDefault="00B62A4E" w:rsidP="00B62A4E">
      <w:pPr>
        <w:rPr>
          <w:lang w:val="nl-NL"/>
        </w:rPr>
      </w:pPr>
      <w:r w:rsidRPr="00B62A4E">
        <w:rPr>
          <w:lang w:val="nl-NL"/>
        </w:rPr>
        <w:t xml:space="preserve">Het bestuur ontvangt van het bestuursbureau maandelijks een interne financiële rapportage en op kwartaalbasis een interne integrale rapportage. Na afloop van de maand wordt de financiële positie gerapporteerd aan het bestuur en aan DNB. Het bestuur heeft doorlopend (digitaal) toegang tot kritische balans- en beleggingsdata en bij overschrijding van afgesproken richtlijnen worden bestuur en bestuursbureau direct geïnformeerd. </w:t>
      </w:r>
      <w:r w:rsidR="003C1FEF">
        <w:rPr>
          <w:lang w:val="nl-NL"/>
        </w:rPr>
        <w:t>Ons</w:t>
      </w:r>
      <w:r w:rsidR="003C1FEF" w:rsidRPr="00B62A4E">
        <w:rPr>
          <w:lang w:val="nl-NL"/>
        </w:rPr>
        <w:t xml:space="preserve"> </w:t>
      </w:r>
      <w:r w:rsidRPr="00B62A4E">
        <w:rPr>
          <w:lang w:val="nl-NL"/>
        </w:rPr>
        <w:t xml:space="preserve">fonds publiceert via </w:t>
      </w:r>
      <w:r w:rsidR="003C1FEF">
        <w:rPr>
          <w:lang w:val="nl-NL"/>
        </w:rPr>
        <w:t>de</w:t>
      </w:r>
      <w:r w:rsidR="003C1FEF" w:rsidRPr="00B62A4E">
        <w:rPr>
          <w:lang w:val="nl-NL"/>
        </w:rPr>
        <w:t xml:space="preserve"> </w:t>
      </w:r>
      <w:r w:rsidRPr="00B62A4E">
        <w:rPr>
          <w:lang w:val="nl-NL"/>
        </w:rPr>
        <w:t xml:space="preserve">website openbare </w:t>
      </w:r>
      <w:r w:rsidRPr="00B62A4E">
        <w:rPr>
          <w:lang w:val="nl-NL"/>
        </w:rPr>
        <w:lastRenderedPageBreak/>
        <w:t xml:space="preserve">maandberichten en kwartaalberichten. Rapportages aan toezichthouders worden ingediend door AZL, na goedkeuring </w:t>
      </w:r>
      <w:r w:rsidR="00555731">
        <w:rPr>
          <w:lang w:val="nl-NL"/>
        </w:rPr>
        <w:t>door</w:t>
      </w:r>
      <w:r w:rsidRPr="00B62A4E">
        <w:rPr>
          <w:lang w:val="nl-NL"/>
        </w:rPr>
        <w:t xml:space="preserve"> het bestuursbureau. </w:t>
      </w:r>
    </w:p>
    <w:p w14:paraId="1ED8FEDF" w14:textId="77777777" w:rsidR="00B62A4E" w:rsidRPr="00B62A4E" w:rsidRDefault="00B62A4E" w:rsidP="00B62A4E">
      <w:pPr>
        <w:rPr>
          <w:lang w:val="nl-NL"/>
        </w:rPr>
      </w:pPr>
    </w:p>
    <w:p w14:paraId="05B66132" w14:textId="77777777" w:rsidR="00B62A4E" w:rsidRPr="00613B0D" w:rsidRDefault="00B62A4E" w:rsidP="00B62A4E">
      <w:pPr>
        <w:rPr>
          <w:i/>
          <w:lang w:val="nl-NL"/>
        </w:rPr>
      </w:pPr>
      <w:r w:rsidRPr="00613B0D">
        <w:rPr>
          <w:i/>
          <w:lang w:val="nl-NL"/>
        </w:rPr>
        <w:t>Uitvoeringskosten</w:t>
      </w:r>
    </w:p>
    <w:p w14:paraId="40BB66C6" w14:textId="7B203056" w:rsidR="00B62A4E" w:rsidRPr="00B62A4E" w:rsidRDefault="00B62A4E" w:rsidP="00B62A4E">
      <w:pPr>
        <w:rPr>
          <w:lang w:val="nl-NL"/>
        </w:rPr>
      </w:pPr>
      <w:r w:rsidRPr="00B62A4E">
        <w:rPr>
          <w:lang w:val="nl-NL"/>
        </w:rPr>
        <w:t xml:space="preserve">De werkgever vergoedt de uitvoeringskosten. </w:t>
      </w:r>
      <w:r w:rsidR="002258EB">
        <w:rPr>
          <w:lang w:val="nl-NL"/>
        </w:rPr>
        <w:t xml:space="preserve">Jaarlijks komen fonds en werkgever een begroting van de verwachte uitvoeringsovereenkomsten overeen voor het volgende jaar, na initiële vaststelling van deze begroting door het bestuur. </w:t>
      </w:r>
      <w:r w:rsidRPr="00B62A4E">
        <w:rPr>
          <w:lang w:val="nl-NL"/>
        </w:rPr>
        <w:t xml:space="preserve">De begroting is taakstellend. Dat betekent dat indien gedurende het jaar mocht blijken dat de werkelijke kosten hoger zijn dan de begrote kosten, deze overschrijding in eerste instantie binnen de geldende begroting moet worden opgelost. Wanneer dat niet mogelijk blijkt, dan treedt het bestuur </w:t>
      </w:r>
      <w:r w:rsidR="002258EB">
        <w:rPr>
          <w:lang w:val="nl-NL"/>
        </w:rPr>
        <w:t xml:space="preserve">tijdig </w:t>
      </w:r>
      <w:r w:rsidRPr="00B62A4E">
        <w:rPr>
          <w:lang w:val="nl-NL"/>
        </w:rPr>
        <w:t>in overleg met de werkgever over een mogelijke uitbreiding van de begroting. Op kwartaalbasis wordt aan het bestuur gerapporteerd over de ontwikkeling van de werkelijke kosten ten opzichte van de begroting en de verwachting van de kosten voor het gehele jaar.</w:t>
      </w:r>
    </w:p>
    <w:p w14:paraId="706288D4" w14:textId="77777777" w:rsidR="00B62A4E" w:rsidRPr="00B62A4E" w:rsidRDefault="00B62A4E" w:rsidP="00B62A4E">
      <w:pPr>
        <w:rPr>
          <w:lang w:val="nl-NL"/>
        </w:rPr>
      </w:pPr>
    </w:p>
    <w:p w14:paraId="0F281120" w14:textId="77777777" w:rsidR="00B62A4E" w:rsidRPr="00613B0D" w:rsidRDefault="00B62A4E" w:rsidP="00B62A4E">
      <w:pPr>
        <w:rPr>
          <w:i/>
          <w:lang w:val="nl-NL"/>
        </w:rPr>
      </w:pPr>
      <w:r w:rsidRPr="00613B0D">
        <w:rPr>
          <w:i/>
          <w:lang w:val="nl-NL"/>
        </w:rPr>
        <w:t>Jaarverslaggeving</w:t>
      </w:r>
    </w:p>
    <w:p w14:paraId="0F259F84" w14:textId="506502F1" w:rsidR="00B62A4E" w:rsidRPr="00B62A4E" w:rsidRDefault="00B62A4E" w:rsidP="00B62A4E">
      <w:pPr>
        <w:rPr>
          <w:lang w:val="nl-NL"/>
        </w:rPr>
      </w:pPr>
      <w:r w:rsidRPr="00B62A4E">
        <w:rPr>
          <w:lang w:val="nl-NL"/>
        </w:rPr>
        <w:t xml:space="preserve">Het boekjaar van </w:t>
      </w:r>
      <w:r w:rsidR="009E2D44">
        <w:rPr>
          <w:lang w:val="nl-NL"/>
        </w:rPr>
        <w:t>ons</w:t>
      </w:r>
      <w:r w:rsidR="009E2D44" w:rsidRPr="00B62A4E">
        <w:rPr>
          <w:lang w:val="nl-NL"/>
        </w:rPr>
        <w:t xml:space="preserve"> </w:t>
      </w:r>
      <w:r w:rsidRPr="00B62A4E">
        <w:rPr>
          <w:lang w:val="nl-NL"/>
        </w:rPr>
        <w:t>fonds valt samen met het kalenderjaar.</w:t>
      </w:r>
    </w:p>
    <w:p w14:paraId="316548D8" w14:textId="77777777" w:rsidR="00613B0D" w:rsidRDefault="00613B0D">
      <w:pPr>
        <w:spacing w:after="200" w:line="276" w:lineRule="auto"/>
        <w:rPr>
          <w:lang w:val="nl-NL"/>
        </w:rPr>
      </w:pPr>
      <w:r>
        <w:rPr>
          <w:lang w:val="nl-NL"/>
        </w:rPr>
        <w:br w:type="page"/>
      </w:r>
    </w:p>
    <w:p w14:paraId="15A861A9" w14:textId="77777777" w:rsidR="00B62A4E" w:rsidRPr="00B62A4E" w:rsidRDefault="00B62A4E" w:rsidP="00613B0D">
      <w:pPr>
        <w:pStyle w:val="Kop1"/>
        <w:rPr>
          <w:rFonts w:hint="eastAsia"/>
          <w:lang w:val="nl-NL"/>
        </w:rPr>
      </w:pPr>
      <w:bookmarkStart w:id="26" w:name="_Toc231804752"/>
      <w:r w:rsidRPr="00B62A4E">
        <w:rPr>
          <w:lang w:val="nl-NL"/>
        </w:rPr>
        <w:lastRenderedPageBreak/>
        <w:t>Uitvoeringsovereenkomst</w:t>
      </w:r>
      <w:bookmarkEnd w:id="26"/>
    </w:p>
    <w:p w14:paraId="77B7460A" w14:textId="77777777" w:rsidR="00B62A4E" w:rsidRPr="00B62A4E" w:rsidRDefault="00B62A4E" w:rsidP="00B62A4E">
      <w:pPr>
        <w:rPr>
          <w:lang w:val="nl-NL"/>
        </w:rPr>
      </w:pPr>
    </w:p>
    <w:p w14:paraId="4D06EFEF" w14:textId="77777777" w:rsidR="00B62A4E" w:rsidRPr="00B62A4E" w:rsidRDefault="00B62A4E" w:rsidP="00B62A4E">
      <w:pPr>
        <w:rPr>
          <w:lang w:val="nl-NL"/>
        </w:rPr>
      </w:pPr>
      <w:r w:rsidRPr="00B62A4E">
        <w:rPr>
          <w:lang w:val="nl-NL"/>
        </w:rPr>
        <w:t>De werkgever heeft een collectieve arbeidsovereenkomst gesloten, waarin een pensioenovereenkomst is opgenomen. De pensioenovereenkomst bevat de bepalingen over de CDC-pensioenregeling. Deze CDC-pensioenregeling kwalificeert onder de International Financial Reporting Standards (IAS 19R) als Defined Contribution (DC) en dient te blijven kwalificeren als DC.</w:t>
      </w:r>
    </w:p>
    <w:p w14:paraId="1E2F78DF" w14:textId="77777777" w:rsidR="00B62A4E" w:rsidRPr="00B62A4E" w:rsidRDefault="00B62A4E" w:rsidP="00B62A4E">
      <w:pPr>
        <w:rPr>
          <w:lang w:val="nl-NL"/>
        </w:rPr>
      </w:pPr>
    </w:p>
    <w:p w14:paraId="3F5172F2" w14:textId="420786F6" w:rsidR="00B62A4E" w:rsidRPr="00B62A4E" w:rsidRDefault="00B62A4E">
      <w:pPr>
        <w:rPr>
          <w:lang w:val="nl-NL"/>
        </w:rPr>
      </w:pPr>
      <w:r w:rsidRPr="00B62A4E">
        <w:rPr>
          <w:lang w:val="nl-NL"/>
        </w:rPr>
        <w:t xml:space="preserve">De wederzijdse rechten en verplichtingen voor werkgever en fonds zijn in een uitvoeringsovereenkomst vastgelegd. </w:t>
      </w:r>
      <w:r w:rsidR="007441C1">
        <w:rPr>
          <w:lang w:val="nl-NL"/>
        </w:rPr>
        <w:t xml:space="preserve">De huidige uitvoeringsovereenkomst is geldig </w:t>
      </w:r>
      <w:r w:rsidR="00D34910">
        <w:rPr>
          <w:lang w:val="nl-NL"/>
        </w:rPr>
        <w:t xml:space="preserve">tot 1 januari 2029 </w:t>
      </w:r>
      <w:r w:rsidR="00D34910" w:rsidRPr="00CA3398">
        <w:rPr>
          <w:lang w:val="nl-NL"/>
        </w:rPr>
        <w:t>en kan tussentijds worden opgezegd met inachtneming van een opzegtermijn van ten minste zes maanden</w:t>
      </w:r>
      <w:r w:rsidR="007C2F4E">
        <w:rPr>
          <w:lang w:val="nl-NL"/>
        </w:rPr>
        <w:t xml:space="preserve">. </w:t>
      </w:r>
    </w:p>
    <w:p w14:paraId="32B374DF" w14:textId="77777777" w:rsidR="00B62A4E" w:rsidRPr="00B62A4E" w:rsidRDefault="00B62A4E" w:rsidP="00B62A4E">
      <w:pPr>
        <w:rPr>
          <w:lang w:val="nl-NL"/>
        </w:rPr>
      </w:pPr>
    </w:p>
    <w:p w14:paraId="29976960" w14:textId="0A5FAFB3" w:rsidR="00B62A4E" w:rsidRPr="00B62A4E" w:rsidRDefault="00B62A4E" w:rsidP="00B62A4E">
      <w:pPr>
        <w:rPr>
          <w:lang w:val="nl-NL"/>
        </w:rPr>
      </w:pPr>
      <w:r w:rsidRPr="00B62A4E">
        <w:rPr>
          <w:lang w:val="nl-NL"/>
        </w:rPr>
        <w:t>In de CDC-pensioenregeling</w:t>
      </w:r>
      <w:r w:rsidR="008A28B2">
        <w:rPr>
          <w:lang w:val="nl-NL"/>
        </w:rPr>
        <w:t>, zoals vastgelegd in de pensioenovereenkomst,</w:t>
      </w:r>
      <w:r w:rsidR="008A28B2" w:rsidRPr="00B62A4E">
        <w:rPr>
          <w:lang w:val="nl-NL"/>
        </w:rPr>
        <w:t xml:space="preserve"> </w:t>
      </w:r>
      <w:r w:rsidRPr="00B62A4E">
        <w:rPr>
          <w:lang w:val="nl-NL"/>
        </w:rPr>
        <w:t xml:space="preserve"> wordt pensioenverwerving in een middelloonregeling nagestreefd op basis van </w:t>
      </w:r>
      <w:r w:rsidR="002258EB">
        <w:rPr>
          <w:lang w:val="nl-NL"/>
        </w:rPr>
        <w:t xml:space="preserve">een </w:t>
      </w:r>
      <w:r w:rsidRPr="00B62A4E">
        <w:rPr>
          <w:lang w:val="nl-NL"/>
        </w:rPr>
        <w:t xml:space="preserve">vaste </w:t>
      </w:r>
      <w:r w:rsidR="002258EB">
        <w:rPr>
          <w:lang w:val="nl-NL"/>
        </w:rPr>
        <w:t xml:space="preserve">CDC </w:t>
      </w:r>
      <w:r w:rsidRPr="00B62A4E">
        <w:rPr>
          <w:lang w:val="nl-NL"/>
        </w:rPr>
        <w:t xml:space="preserve">premie. </w:t>
      </w:r>
      <w:r w:rsidR="00570252" w:rsidRPr="000C7522">
        <w:rPr>
          <w:lang w:val="nl-NL"/>
        </w:rPr>
        <w:t>De pensioenovereenkomst loopt tot 31 december 2027, met een opzegtermijn voor de sociale partners van 12 maanden.</w:t>
      </w:r>
      <w:r w:rsidR="00570252">
        <w:rPr>
          <w:lang w:val="nl-NL"/>
        </w:rPr>
        <w:t xml:space="preserve"> </w:t>
      </w:r>
      <w:r w:rsidRPr="00B62A4E">
        <w:rPr>
          <w:lang w:val="nl-NL"/>
        </w:rPr>
        <w:t xml:space="preserve">De vaste premie </w:t>
      </w:r>
      <w:r w:rsidR="002258EB">
        <w:rPr>
          <w:lang w:val="nl-NL"/>
        </w:rPr>
        <w:t xml:space="preserve">is door sociale partners overeengekomen </w:t>
      </w:r>
      <w:r w:rsidR="007F1728">
        <w:rPr>
          <w:lang w:val="nl-NL"/>
        </w:rPr>
        <w:t>gedurende de looptijd van de pensioenovereenkomst</w:t>
      </w:r>
      <w:r w:rsidR="009D75CB">
        <w:rPr>
          <w:lang w:val="nl-NL"/>
        </w:rPr>
        <w:t xml:space="preserve">. </w:t>
      </w:r>
      <w:r w:rsidR="0021357E">
        <w:rPr>
          <w:lang w:val="nl-NL"/>
        </w:rPr>
        <w:t>Bovenop de vaste CDC-premie betaalt de werkgever een actuari</w:t>
      </w:r>
      <w:r w:rsidR="0021357E">
        <w:rPr>
          <w:rFonts w:ascii="Arial" w:hAnsi="Arial" w:cs="Arial"/>
          <w:lang w:val="nl-NL"/>
        </w:rPr>
        <w:t>ë</w:t>
      </w:r>
      <w:r w:rsidR="0021357E">
        <w:rPr>
          <w:lang w:val="nl-NL"/>
        </w:rPr>
        <w:t xml:space="preserve">le premie voor het tijdelijk partnerpensioen en een bijdrage voor de jaarlijkse uitvoeringskosten. </w:t>
      </w:r>
      <w:r w:rsidRPr="00B62A4E">
        <w:rPr>
          <w:lang w:val="nl-NL"/>
        </w:rPr>
        <w:t xml:space="preserve">De financiële verplichtingen van de werkgever richting het fonds zijn beperkt tot de expliciet in de uitvoeringsovereenkomst genoemde verplichtingen, dan wel de in de uitvoeringsovereenkomst benoemde situaties. Het risico dat de middelen van </w:t>
      </w:r>
      <w:r w:rsidR="0028505C">
        <w:rPr>
          <w:lang w:val="nl-NL"/>
        </w:rPr>
        <w:t>ons</w:t>
      </w:r>
      <w:r w:rsidR="0028505C" w:rsidRPr="00B62A4E">
        <w:rPr>
          <w:lang w:val="nl-NL"/>
        </w:rPr>
        <w:t xml:space="preserve"> </w:t>
      </w:r>
      <w:r w:rsidRPr="00B62A4E">
        <w:rPr>
          <w:lang w:val="nl-NL"/>
        </w:rPr>
        <w:t xml:space="preserve">fonds niet toereikend zijn om de beoogde pensioenen op te bouwen en uit te betalen, ligt volledig bij de (gewezen) deelnemers en pensioengerechtigden. </w:t>
      </w:r>
      <w:r w:rsidR="003064C6">
        <w:rPr>
          <w:lang w:val="nl-NL"/>
        </w:rPr>
        <w:t>We</w:t>
      </w:r>
      <w:r w:rsidRPr="00B62A4E">
        <w:rPr>
          <w:lang w:val="nl-NL"/>
        </w:rPr>
        <w:t xml:space="preserve"> wij</w:t>
      </w:r>
      <w:r w:rsidR="003064C6">
        <w:rPr>
          <w:lang w:val="nl-NL"/>
        </w:rPr>
        <w:t>zen</w:t>
      </w:r>
      <w:r w:rsidRPr="00B62A4E">
        <w:rPr>
          <w:lang w:val="nl-NL"/>
        </w:rPr>
        <w:t xml:space="preserve"> de (gewezen) deelnemers en pensioengerechtigden in </w:t>
      </w:r>
      <w:r w:rsidR="003064C6">
        <w:rPr>
          <w:lang w:val="nl-NL"/>
        </w:rPr>
        <w:t>onze</w:t>
      </w:r>
      <w:r w:rsidR="003064C6" w:rsidRPr="00B62A4E">
        <w:rPr>
          <w:lang w:val="nl-NL"/>
        </w:rPr>
        <w:t xml:space="preserve"> </w:t>
      </w:r>
      <w:r w:rsidRPr="00B62A4E">
        <w:rPr>
          <w:lang w:val="nl-NL"/>
        </w:rPr>
        <w:t>communicatie op dit risico.</w:t>
      </w:r>
    </w:p>
    <w:p w14:paraId="30B263F7" w14:textId="77777777" w:rsidR="00B62A4E" w:rsidRPr="00B62A4E" w:rsidRDefault="00B62A4E" w:rsidP="00B62A4E">
      <w:pPr>
        <w:rPr>
          <w:lang w:val="nl-NL"/>
        </w:rPr>
      </w:pPr>
    </w:p>
    <w:p w14:paraId="46B1B746" w14:textId="77777777" w:rsidR="00B62A4E" w:rsidRPr="00613B0D" w:rsidRDefault="00B62A4E" w:rsidP="00B62A4E">
      <w:pPr>
        <w:rPr>
          <w:i/>
          <w:lang w:val="nl-NL"/>
        </w:rPr>
      </w:pPr>
      <w:r w:rsidRPr="00613B0D">
        <w:rPr>
          <w:i/>
          <w:lang w:val="nl-NL"/>
        </w:rPr>
        <w:t>Karakteristieken zoals vastgelegd in de uitvoeringsovereenkomst</w:t>
      </w:r>
    </w:p>
    <w:p w14:paraId="2AD0C947" w14:textId="77777777" w:rsidR="00B62A4E" w:rsidRPr="00B62A4E" w:rsidRDefault="00B62A4E" w:rsidP="00B62A4E">
      <w:pPr>
        <w:rPr>
          <w:lang w:val="nl-NL"/>
        </w:rPr>
      </w:pPr>
      <w:r w:rsidRPr="00B62A4E">
        <w:rPr>
          <w:lang w:val="nl-NL"/>
        </w:rPr>
        <w:t>De CDC-pensioenregeling heef</w:t>
      </w:r>
      <w:r w:rsidR="00613B0D">
        <w:rPr>
          <w:lang w:val="nl-NL"/>
        </w:rPr>
        <w:t>t de volgende karakteristieken:</w:t>
      </w:r>
    </w:p>
    <w:p w14:paraId="26C68242" w14:textId="77777777" w:rsidR="00B62A4E" w:rsidRPr="004E44F1" w:rsidRDefault="00712074" w:rsidP="001E699B">
      <w:pPr>
        <w:pStyle w:val="Lijstalinea"/>
        <w:numPr>
          <w:ilvl w:val="0"/>
          <w:numId w:val="16"/>
        </w:numPr>
        <w:rPr>
          <w:lang w:val="nl-NL"/>
        </w:rPr>
      </w:pPr>
      <w:r>
        <w:rPr>
          <w:lang w:val="nl-NL"/>
        </w:rPr>
        <w:t>ING CDC Pensioenfonds</w:t>
      </w:r>
      <w:r w:rsidR="00B62A4E" w:rsidRPr="004E44F1">
        <w:rPr>
          <w:lang w:val="nl-NL"/>
        </w:rPr>
        <w:t xml:space="preserve"> streeft naar een middelloonregeling met voorwaardelijke toeslagverlening op basis van de consumentenprijsindex</w:t>
      </w:r>
      <w:r w:rsidR="00792C76">
        <w:rPr>
          <w:lang w:val="nl-NL"/>
        </w:rPr>
        <w:t xml:space="preserve"> alle huishoudens afgeleid</w:t>
      </w:r>
      <w:r w:rsidR="00B62A4E" w:rsidRPr="004E44F1">
        <w:rPr>
          <w:lang w:val="nl-NL"/>
        </w:rPr>
        <w:t>.</w:t>
      </w:r>
    </w:p>
    <w:p w14:paraId="287FF32C" w14:textId="13E4201A" w:rsidR="00B62A4E" w:rsidRPr="004E44F1" w:rsidRDefault="00B62A4E" w:rsidP="001E699B">
      <w:pPr>
        <w:pStyle w:val="Lijstalinea"/>
        <w:numPr>
          <w:ilvl w:val="0"/>
          <w:numId w:val="16"/>
        </w:numPr>
        <w:rPr>
          <w:lang w:val="nl-NL"/>
        </w:rPr>
      </w:pPr>
      <w:r w:rsidRPr="004E44F1">
        <w:rPr>
          <w:lang w:val="nl-NL"/>
        </w:rPr>
        <w:t xml:space="preserve">De verschuldigde </w:t>
      </w:r>
      <w:r w:rsidR="002258EB">
        <w:rPr>
          <w:lang w:val="nl-NL"/>
        </w:rPr>
        <w:t>vaste CDC</w:t>
      </w:r>
      <w:r w:rsidR="0021357E">
        <w:rPr>
          <w:lang w:val="nl-NL"/>
        </w:rPr>
        <w:t xml:space="preserve"> </w:t>
      </w:r>
      <w:r w:rsidRPr="004E44F1">
        <w:rPr>
          <w:lang w:val="nl-NL"/>
        </w:rPr>
        <w:t xml:space="preserve">premie is alleen bedoeld voor de beoogde toekenning door </w:t>
      </w:r>
      <w:r w:rsidR="0086202E">
        <w:rPr>
          <w:lang w:val="nl-NL"/>
        </w:rPr>
        <w:t>ons</w:t>
      </w:r>
      <w:r w:rsidR="0086202E" w:rsidRPr="004E44F1">
        <w:rPr>
          <w:lang w:val="nl-NL"/>
        </w:rPr>
        <w:t xml:space="preserve"> </w:t>
      </w:r>
      <w:r w:rsidRPr="004E44F1">
        <w:rPr>
          <w:lang w:val="nl-NL"/>
        </w:rPr>
        <w:t xml:space="preserve">fonds van pensioenaanspraken in dat jaar (het jaar van premiebetaling) voor de deelnemers en voor eventuele toekomstige voorwaardelijke toeslagen daarop. De verschuldigde </w:t>
      </w:r>
      <w:r w:rsidR="002258EB">
        <w:rPr>
          <w:lang w:val="nl-NL"/>
        </w:rPr>
        <w:t xml:space="preserve">vaste CDC </w:t>
      </w:r>
      <w:r w:rsidRPr="004E44F1">
        <w:rPr>
          <w:lang w:val="nl-NL"/>
        </w:rPr>
        <w:t xml:space="preserve">premie is daarom nadrukkelijk niet bestemd om dreigende vermindering van al opgebouwde pensioenaanspraken en -rechten te voorkomen en/of verminderingen uit het verleden te compenseren. De verschuldigde </w:t>
      </w:r>
      <w:r w:rsidR="002258EB">
        <w:rPr>
          <w:lang w:val="nl-NL"/>
        </w:rPr>
        <w:t xml:space="preserve">vaste CDC </w:t>
      </w:r>
      <w:r w:rsidRPr="004E44F1">
        <w:rPr>
          <w:lang w:val="nl-NL"/>
        </w:rPr>
        <w:t xml:space="preserve">premie is evenmin bestemd om achterblijvende toeslagverlening op in het verleden opgebouwde (voorwaardelijke) pensioenaanspraken en -rechten te compenseren. </w:t>
      </w:r>
    </w:p>
    <w:p w14:paraId="4FA0A69D" w14:textId="11F4EE8C" w:rsidR="00B62A4E" w:rsidRPr="004E44F1" w:rsidRDefault="00B62A4E" w:rsidP="001E699B">
      <w:pPr>
        <w:pStyle w:val="Lijstalinea"/>
        <w:numPr>
          <w:ilvl w:val="0"/>
          <w:numId w:val="16"/>
        </w:numPr>
        <w:rPr>
          <w:lang w:val="nl-NL"/>
        </w:rPr>
      </w:pPr>
      <w:r w:rsidRPr="004E44F1">
        <w:rPr>
          <w:lang w:val="nl-NL"/>
        </w:rPr>
        <w:t xml:space="preserve">Wanneer de vooraf afgesproken vaste </w:t>
      </w:r>
      <w:r w:rsidR="002258EB">
        <w:rPr>
          <w:lang w:val="nl-NL"/>
        </w:rPr>
        <w:t>CDC</w:t>
      </w:r>
      <w:r w:rsidRPr="004E44F1">
        <w:rPr>
          <w:lang w:val="nl-NL"/>
        </w:rPr>
        <w:t xml:space="preserve"> premie niet voldoende is om de beoogde pensioenopbouw voor dat jaar te financieren, zal er navenant minder pensioen in dat jaar worden opgebouwd. De</w:t>
      </w:r>
      <w:r w:rsidR="002258EB">
        <w:rPr>
          <w:lang w:val="nl-NL"/>
        </w:rPr>
        <w:t xml:space="preserve"> vaste</w:t>
      </w:r>
      <w:r w:rsidRPr="004E44F1">
        <w:rPr>
          <w:lang w:val="nl-NL"/>
        </w:rPr>
        <w:t xml:space="preserve"> </w:t>
      </w:r>
      <w:r w:rsidR="002258EB">
        <w:rPr>
          <w:lang w:val="nl-NL"/>
        </w:rPr>
        <w:t xml:space="preserve">CDC </w:t>
      </w:r>
      <w:r w:rsidRPr="004E44F1">
        <w:rPr>
          <w:lang w:val="nl-NL"/>
        </w:rPr>
        <w:t xml:space="preserve">premie wordt nadrukkelijk niet verhoogd. </w:t>
      </w:r>
    </w:p>
    <w:p w14:paraId="589E890A" w14:textId="4E429251" w:rsidR="002258EB" w:rsidRDefault="002258EB" w:rsidP="001E699B">
      <w:pPr>
        <w:pStyle w:val="Lijstalinea"/>
        <w:numPr>
          <w:ilvl w:val="0"/>
          <w:numId w:val="16"/>
        </w:numPr>
        <w:rPr>
          <w:lang w:val="nl-NL"/>
        </w:rPr>
      </w:pPr>
      <w:r>
        <w:rPr>
          <w:lang w:val="nl-NL"/>
        </w:rPr>
        <w:t>Voor het tijdelijk partnerpensioen wordt een actuariële premie betaald</w:t>
      </w:r>
      <w:r w:rsidR="006F3A99">
        <w:rPr>
          <w:lang w:val="nl-NL"/>
        </w:rPr>
        <w:t>, die wordt vastgesteld in het vierde kwartaal van het daaraan voorafgaande jaar</w:t>
      </w:r>
      <w:r>
        <w:rPr>
          <w:lang w:val="nl-NL"/>
        </w:rPr>
        <w:t>.</w:t>
      </w:r>
    </w:p>
    <w:p w14:paraId="6124C7C0" w14:textId="31B03028" w:rsidR="00B62A4E" w:rsidRPr="004E44F1" w:rsidRDefault="00B62A4E" w:rsidP="001E699B">
      <w:pPr>
        <w:pStyle w:val="Lijstalinea"/>
        <w:numPr>
          <w:ilvl w:val="0"/>
          <w:numId w:val="16"/>
        </w:numPr>
        <w:rPr>
          <w:lang w:val="nl-NL"/>
        </w:rPr>
      </w:pPr>
      <w:r w:rsidRPr="004E44F1">
        <w:rPr>
          <w:lang w:val="nl-NL"/>
        </w:rPr>
        <w:t xml:space="preserve">De werkgever heeft met het betalen van de verschuldigde </w:t>
      </w:r>
      <w:r w:rsidR="006F3A99">
        <w:rPr>
          <w:lang w:val="nl-NL"/>
        </w:rPr>
        <w:t xml:space="preserve">vaste CDC </w:t>
      </w:r>
      <w:r w:rsidRPr="004E44F1">
        <w:rPr>
          <w:lang w:val="nl-NL"/>
        </w:rPr>
        <w:t>premie</w:t>
      </w:r>
      <w:r w:rsidR="006F3A99">
        <w:rPr>
          <w:lang w:val="nl-NL"/>
        </w:rPr>
        <w:t>, de actuariële premie voor het tijdelijk partnerpensioen</w:t>
      </w:r>
      <w:r w:rsidRPr="004E44F1">
        <w:rPr>
          <w:lang w:val="nl-NL"/>
        </w:rPr>
        <w:t xml:space="preserve"> en zijn bijdrage voor de uitvoeringskosten volledig aan zijn financiële verplichtingen voldaan. Er bestaat nadrukkelijk geen enkele bijstortingsverplichting voor de werkgever. Wanneer </w:t>
      </w:r>
      <w:r w:rsidR="00893BD3">
        <w:rPr>
          <w:lang w:val="nl-NL"/>
        </w:rPr>
        <w:t>ons</w:t>
      </w:r>
      <w:r w:rsidR="00893BD3" w:rsidRPr="004E44F1">
        <w:rPr>
          <w:lang w:val="nl-NL"/>
        </w:rPr>
        <w:t xml:space="preserve"> </w:t>
      </w:r>
      <w:r w:rsidRPr="004E44F1">
        <w:rPr>
          <w:lang w:val="nl-NL"/>
        </w:rPr>
        <w:t>fonds in een situatie van dekkingstekort of reservetekort komt en niet zelfstandig binnen de wettelijke termijnen zijn beleidsdekkingsgraad weet te herstellen, worden de opgebouwde en ingegane pensioenen verminderd. Evenmin wordt bijgestort als de toeslagambitie niet volledig wordt gerealiseerd</w:t>
      </w:r>
      <w:r w:rsidR="0023776C">
        <w:rPr>
          <w:lang w:val="nl-NL"/>
        </w:rPr>
        <w:t>.</w:t>
      </w:r>
    </w:p>
    <w:p w14:paraId="5B0FEE1C" w14:textId="4F343689" w:rsidR="00B62A4E" w:rsidRPr="004E44F1" w:rsidRDefault="00B62A4E" w:rsidP="001E699B">
      <w:pPr>
        <w:pStyle w:val="Lijstalinea"/>
        <w:numPr>
          <w:ilvl w:val="0"/>
          <w:numId w:val="16"/>
        </w:numPr>
        <w:rPr>
          <w:lang w:val="nl-NL"/>
        </w:rPr>
      </w:pPr>
      <w:r w:rsidRPr="004E44F1">
        <w:rPr>
          <w:lang w:val="nl-NL"/>
        </w:rPr>
        <w:t xml:space="preserve">Wanneer de beleidsdekkingsgraad van </w:t>
      </w:r>
      <w:r w:rsidR="000427AD">
        <w:rPr>
          <w:lang w:val="nl-NL"/>
        </w:rPr>
        <w:t>ons</w:t>
      </w:r>
      <w:r w:rsidR="000427AD" w:rsidRPr="004E44F1">
        <w:rPr>
          <w:lang w:val="nl-NL"/>
        </w:rPr>
        <w:t xml:space="preserve"> </w:t>
      </w:r>
      <w:r w:rsidRPr="004E44F1">
        <w:rPr>
          <w:lang w:val="nl-NL"/>
        </w:rPr>
        <w:t>fonds volgens de wettelijke normen een premiekorting of een premierestitutie zou toestaan, wordt deze niet verleend. In plaats daarvan zal het bestuur in beginsel besluiten extra toeslagen te verlenen, met inachtneming van de beperkingen die daaraan gesteld kunnen zijn door fiscale wetgeving en door</w:t>
      </w:r>
      <w:r w:rsidR="004E44F1">
        <w:rPr>
          <w:lang w:val="nl-NL"/>
        </w:rPr>
        <w:t xml:space="preserve"> het </w:t>
      </w:r>
      <w:r w:rsidR="00792C76">
        <w:rPr>
          <w:lang w:val="nl-NL"/>
        </w:rPr>
        <w:lastRenderedPageBreak/>
        <w:t>Financieel</w:t>
      </w:r>
      <w:r w:rsidR="004E44F1">
        <w:rPr>
          <w:lang w:val="nl-NL"/>
        </w:rPr>
        <w:t xml:space="preserve"> </w:t>
      </w:r>
      <w:r w:rsidR="00792C76">
        <w:rPr>
          <w:lang w:val="nl-NL"/>
        </w:rPr>
        <w:t>T</w:t>
      </w:r>
      <w:r w:rsidR="004E44F1">
        <w:rPr>
          <w:lang w:val="nl-NL"/>
        </w:rPr>
        <w:t>oezichtskader.</w:t>
      </w:r>
      <w:r w:rsidR="004E44F1">
        <w:rPr>
          <w:lang w:val="nl-NL"/>
        </w:rPr>
        <w:br/>
      </w:r>
    </w:p>
    <w:p w14:paraId="0D2E8E74" w14:textId="77777777" w:rsidR="00B62A4E" w:rsidRPr="00B62A4E" w:rsidRDefault="00B62A4E" w:rsidP="00B62A4E">
      <w:pPr>
        <w:rPr>
          <w:lang w:val="nl-NL"/>
        </w:rPr>
      </w:pPr>
      <w:r w:rsidRPr="00B62A4E">
        <w:rPr>
          <w:lang w:val="nl-NL"/>
        </w:rPr>
        <w:t>In de uitvoeringsovereenkomst zijn tevens de volgende zaken geregeld:</w:t>
      </w:r>
    </w:p>
    <w:p w14:paraId="4E1BA94B" w14:textId="0853BA2F" w:rsidR="00B62A4E" w:rsidRPr="004E44F1" w:rsidRDefault="007441C1" w:rsidP="001E699B">
      <w:pPr>
        <w:pStyle w:val="Lijstalinea"/>
        <w:numPr>
          <w:ilvl w:val="0"/>
          <w:numId w:val="17"/>
        </w:numPr>
        <w:rPr>
          <w:lang w:val="nl-NL"/>
        </w:rPr>
      </w:pPr>
      <w:r>
        <w:rPr>
          <w:lang w:val="nl-NL"/>
        </w:rPr>
        <w:t>De hoogte</w:t>
      </w:r>
      <w:r w:rsidR="00B62A4E" w:rsidRPr="004E44F1">
        <w:rPr>
          <w:lang w:val="nl-NL"/>
        </w:rPr>
        <w:t xml:space="preserve"> van de </w:t>
      </w:r>
      <w:r w:rsidR="006F3A99">
        <w:rPr>
          <w:lang w:val="nl-NL"/>
        </w:rPr>
        <w:t xml:space="preserve">vaste CDC </w:t>
      </w:r>
      <w:r w:rsidR="00B62A4E" w:rsidRPr="004E44F1">
        <w:rPr>
          <w:lang w:val="nl-NL"/>
        </w:rPr>
        <w:t>premie</w:t>
      </w:r>
      <w:r w:rsidR="006F3A99">
        <w:rPr>
          <w:lang w:val="nl-NL"/>
        </w:rPr>
        <w:t>, de actuariële premie voor het tijdelijk partnerpensioen</w:t>
      </w:r>
      <w:r w:rsidR="00B62A4E" w:rsidRPr="004E44F1">
        <w:rPr>
          <w:lang w:val="nl-NL"/>
        </w:rPr>
        <w:t xml:space="preserve"> en </w:t>
      </w:r>
      <w:r w:rsidR="006F3A99">
        <w:rPr>
          <w:lang w:val="nl-NL"/>
        </w:rPr>
        <w:t xml:space="preserve">de bijdrage voor </w:t>
      </w:r>
      <w:r w:rsidR="00B62A4E" w:rsidRPr="004E44F1">
        <w:rPr>
          <w:lang w:val="nl-NL"/>
        </w:rPr>
        <w:t>uitvoeringskosten</w:t>
      </w:r>
      <w:r w:rsidR="00845DF3">
        <w:rPr>
          <w:lang w:val="nl-NL"/>
        </w:rPr>
        <w:t>.</w:t>
      </w:r>
    </w:p>
    <w:p w14:paraId="163A8215" w14:textId="753A4865" w:rsidR="00B62A4E" w:rsidRPr="004E44F1" w:rsidRDefault="00845DF3" w:rsidP="001E699B">
      <w:pPr>
        <w:pStyle w:val="Lijstalinea"/>
        <w:numPr>
          <w:ilvl w:val="0"/>
          <w:numId w:val="17"/>
        </w:numPr>
        <w:rPr>
          <w:lang w:val="nl-NL"/>
        </w:rPr>
      </w:pPr>
      <w:r>
        <w:rPr>
          <w:lang w:val="nl-NL"/>
        </w:rPr>
        <w:t>B</w:t>
      </w:r>
      <w:r w:rsidR="00B62A4E" w:rsidRPr="004E44F1">
        <w:rPr>
          <w:lang w:val="nl-NL"/>
        </w:rPr>
        <w:t xml:space="preserve">etaling van de </w:t>
      </w:r>
      <w:r w:rsidR="006F3A99">
        <w:rPr>
          <w:lang w:val="nl-NL"/>
        </w:rPr>
        <w:t xml:space="preserve">vaste CDC </w:t>
      </w:r>
      <w:r w:rsidR="00B62A4E" w:rsidRPr="004E44F1">
        <w:rPr>
          <w:lang w:val="nl-NL"/>
        </w:rPr>
        <w:t>premie</w:t>
      </w:r>
      <w:r w:rsidR="006F3A99">
        <w:rPr>
          <w:lang w:val="nl-NL"/>
        </w:rPr>
        <w:t>, de actuariële premie voor het tijdelijk partnerpensioen</w:t>
      </w:r>
      <w:r w:rsidR="00B62A4E" w:rsidRPr="004E44F1">
        <w:rPr>
          <w:lang w:val="nl-NL"/>
        </w:rPr>
        <w:t xml:space="preserve"> en </w:t>
      </w:r>
      <w:r w:rsidR="006F3A99">
        <w:rPr>
          <w:lang w:val="nl-NL"/>
        </w:rPr>
        <w:t xml:space="preserve">de bijdrage voor </w:t>
      </w:r>
      <w:r w:rsidR="00B62A4E" w:rsidRPr="004E44F1">
        <w:rPr>
          <w:lang w:val="nl-NL"/>
        </w:rPr>
        <w:t>uitvoeringskosten</w:t>
      </w:r>
      <w:r>
        <w:rPr>
          <w:lang w:val="nl-NL"/>
        </w:rPr>
        <w:t>.</w:t>
      </w:r>
    </w:p>
    <w:p w14:paraId="5D9D1F51" w14:textId="77777777" w:rsidR="00B62A4E" w:rsidRPr="004E44F1" w:rsidRDefault="00845DF3" w:rsidP="001E699B">
      <w:pPr>
        <w:pStyle w:val="Lijstalinea"/>
        <w:numPr>
          <w:ilvl w:val="0"/>
          <w:numId w:val="17"/>
        </w:numPr>
        <w:rPr>
          <w:lang w:val="nl-NL"/>
        </w:rPr>
      </w:pPr>
      <w:r>
        <w:rPr>
          <w:lang w:val="nl-NL"/>
        </w:rPr>
        <w:t>H</w:t>
      </w:r>
      <w:r w:rsidR="00B62A4E" w:rsidRPr="004E44F1">
        <w:rPr>
          <w:lang w:val="nl-NL"/>
        </w:rPr>
        <w:t>et betalingsvoorbehoud van de werkgever</w:t>
      </w:r>
      <w:r>
        <w:rPr>
          <w:lang w:val="nl-NL"/>
        </w:rPr>
        <w:t>.</w:t>
      </w:r>
    </w:p>
    <w:p w14:paraId="6FC74F66" w14:textId="68DA21E8" w:rsidR="00B62A4E" w:rsidRPr="004E44F1" w:rsidRDefault="00845DF3" w:rsidP="001E699B">
      <w:pPr>
        <w:pStyle w:val="Lijstalinea"/>
        <w:numPr>
          <w:ilvl w:val="0"/>
          <w:numId w:val="17"/>
        </w:numPr>
        <w:rPr>
          <w:lang w:val="nl-NL"/>
        </w:rPr>
      </w:pPr>
      <w:r>
        <w:rPr>
          <w:lang w:val="nl-NL"/>
        </w:rPr>
        <w:t>N</w:t>
      </w:r>
      <w:r w:rsidR="00B62A4E" w:rsidRPr="004E44F1">
        <w:rPr>
          <w:lang w:val="nl-NL"/>
        </w:rPr>
        <w:t xml:space="preserve">iet of te laat betaalde </w:t>
      </w:r>
      <w:r w:rsidR="006F3A99">
        <w:rPr>
          <w:lang w:val="nl-NL"/>
        </w:rPr>
        <w:t>bedragen door de werkgever</w:t>
      </w:r>
      <w:r>
        <w:rPr>
          <w:lang w:val="nl-NL"/>
        </w:rPr>
        <w:t>.</w:t>
      </w:r>
    </w:p>
    <w:p w14:paraId="4C3DE840" w14:textId="77777777" w:rsidR="00B62A4E" w:rsidRPr="004E44F1" w:rsidRDefault="00845DF3" w:rsidP="001E699B">
      <w:pPr>
        <w:pStyle w:val="Lijstalinea"/>
        <w:numPr>
          <w:ilvl w:val="0"/>
          <w:numId w:val="17"/>
        </w:numPr>
        <w:rPr>
          <w:lang w:val="nl-NL"/>
        </w:rPr>
      </w:pPr>
      <w:r>
        <w:rPr>
          <w:lang w:val="nl-NL"/>
        </w:rPr>
        <w:t>V</w:t>
      </w:r>
      <w:r w:rsidR="00B62A4E" w:rsidRPr="004E44F1">
        <w:rPr>
          <w:lang w:val="nl-NL"/>
        </w:rPr>
        <w:t>ermindering van pensioenaanspraken en -rechten</w:t>
      </w:r>
      <w:r>
        <w:rPr>
          <w:lang w:val="nl-NL"/>
        </w:rPr>
        <w:t>.</w:t>
      </w:r>
    </w:p>
    <w:p w14:paraId="7E03C42D" w14:textId="77777777" w:rsidR="00B62A4E" w:rsidRPr="004E44F1" w:rsidRDefault="00845DF3" w:rsidP="001E699B">
      <w:pPr>
        <w:pStyle w:val="Lijstalinea"/>
        <w:numPr>
          <w:ilvl w:val="0"/>
          <w:numId w:val="17"/>
        </w:numPr>
        <w:rPr>
          <w:lang w:val="nl-NL"/>
        </w:rPr>
      </w:pPr>
      <w:r>
        <w:rPr>
          <w:lang w:val="nl-NL"/>
        </w:rPr>
        <w:t>D</w:t>
      </w:r>
      <w:r w:rsidR="00B62A4E" w:rsidRPr="004E44F1">
        <w:rPr>
          <w:lang w:val="nl-NL"/>
        </w:rPr>
        <w:t>e informatieverstrekking over en weer</w:t>
      </w:r>
      <w:r>
        <w:rPr>
          <w:lang w:val="nl-NL"/>
        </w:rPr>
        <w:t>.</w:t>
      </w:r>
    </w:p>
    <w:p w14:paraId="7189E5E2" w14:textId="77777777" w:rsidR="00B62A4E" w:rsidRPr="004E44F1" w:rsidRDefault="00845DF3" w:rsidP="001E699B">
      <w:pPr>
        <w:pStyle w:val="Lijstalinea"/>
        <w:numPr>
          <w:ilvl w:val="0"/>
          <w:numId w:val="17"/>
        </w:numPr>
        <w:rPr>
          <w:lang w:val="nl-NL"/>
        </w:rPr>
      </w:pPr>
      <w:r>
        <w:rPr>
          <w:lang w:val="nl-NL"/>
        </w:rPr>
        <w:t>T</w:t>
      </w:r>
      <w:r w:rsidR="00B62A4E" w:rsidRPr="004E44F1">
        <w:rPr>
          <w:lang w:val="nl-NL"/>
        </w:rPr>
        <w:t>oeslagverlening</w:t>
      </w:r>
      <w:r>
        <w:rPr>
          <w:lang w:val="nl-NL"/>
        </w:rPr>
        <w:t>.</w:t>
      </w:r>
    </w:p>
    <w:p w14:paraId="524512E6" w14:textId="211D14F7" w:rsidR="00B62A4E" w:rsidRPr="004E44F1" w:rsidRDefault="00845DF3" w:rsidP="001E699B">
      <w:pPr>
        <w:pStyle w:val="Lijstalinea"/>
        <w:numPr>
          <w:ilvl w:val="0"/>
          <w:numId w:val="17"/>
        </w:numPr>
        <w:rPr>
          <w:lang w:val="nl-NL"/>
        </w:rPr>
      </w:pPr>
      <w:r>
        <w:rPr>
          <w:lang w:val="nl-NL"/>
        </w:rPr>
        <w:t>W</w:t>
      </w:r>
      <w:r w:rsidR="00B62A4E" w:rsidRPr="004E44F1">
        <w:rPr>
          <w:lang w:val="nl-NL"/>
        </w:rPr>
        <w:t xml:space="preserve">erkzaamheden die </w:t>
      </w:r>
      <w:r w:rsidR="008D6252">
        <w:rPr>
          <w:lang w:val="nl-NL"/>
        </w:rPr>
        <w:t xml:space="preserve">ons </w:t>
      </w:r>
      <w:r w:rsidR="001B2EC0">
        <w:rPr>
          <w:lang w:val="nl-NL"/>
        </w:rPr>
        <w:t>fonds</w:t>
      </w:r>
      <w:r w:rsidR="00B62A4E" w:rsidRPr="004E44F1">
        <w:rPr>
          <w:lang w:val="nl-NL"/>
        </w:rPr>
        <w:t xml:space="preserve"> ten behoeve van de werkgever en verzekerden verricht</w:t>
      </w:r>
      <w:r>
        <w:rPr>
          <w:lang w:val="nl-NL"/>
        </w:rPr>
        <w:t>.</w:t>
      </w:r>
    </w:p>
    <w:p w14:paraId="3EF2EEE0" w14:textId="77777777" w:rsidR="00B62A4E" w:rsidRPr="004E44F1" w:rsidRDefault="00845DF3" w:rsidP="001E699B">
      <w:pPr>
        <w:pStyle w:val="Lijstalinea"/>
        <w:numPr>
          <w:ilvl w:val="0"/>
          <w:numId w:val="17"/>
        </w:numPr>
        <w:rPr>
          <w:lang w:val="nl-NL"/>
        </w:rPr>
      </w:pPr>
      <w:r>
        <w:rPr>
          <w:lang w:val="nl-NL"/>
        </w:rPr>
        <w:t>V</w:t>
      </w:r>
      <w:r w:rsidR="00B62A4E" w:rsidRPr="004E44F1">
        <w:rPr>
          <w:lang w:val="nl-NL"/>
        </w:rPr>
        <w:t>aststellen en wijzigen van het pensioenreglement</w:t>
      </w:r>
      <w:r>
        <w:rPr>
          <w:lang w:val="nl-NL"/>
        </w:rPr>
        <w:t>.</w:t>
      </w:r>
    </w:p>
    <w:p w14:paraId="08C2E1BE" w14:textId="77777777" w:rsidR="00B62A4E" w:rsidRPr="004E44F1" w:rsidRDefault="00845DF3" w:rsidP="001E699B">
      <w:pPr>
        <w:pStyle w:val="Lijstalinea"/>
        <w:numPr>
          <w:ilvl w:val="0"/>
          <w:numId w:val="17"/>
        </w:numPr>
        <w:rPr>
          <w:lang w:val="nl-NL"/>
        </w:rPr>
      </w:pPr>
      <w:r>
        <w:rPr>
          <w:lang w:val="nl-NL"/>
        </w:rPr>
        <w:t>G</w:t>
      </w:r>
      <w:r w:rsidR="00B62A4E" w:rsidRPr="004E44F1">
        <w:rPr>
          <w:lang w:val="nl-NL"/>
        </w:rPr>
        <w:t>eschillen</w:t>
      </w:r>
      <w:r>
        <w:rPr>
          <w:lang w:val="nl-NL"/>
        </w:rPr>
        <w:t>.</w:t>
      </w:r>
    </w:p>
    <w:p w14:paraId="375AEBBF" w14:textId="77777777" w:rsidR="00B62A4E" w:rsidRPr="004E44F1" w:rsidRDefault="00845DF3" w:rsidP="001E699B">
      <w:pPr>
        <w:pStyle w:val="Lijstalinea"/>
        <w:numPr>
          <w:ilvl w:val="0"/>
          <w:numId w:val="17"/>
        </w:numPr>
        <w:rPr>
          <w:lang w:val="nl-NL"/>
        </w:rPr>
      </w:pPr>
      <w:r>
        <w:rPr>
          <w:lang w:val="nl-NL"/>
        </w:rPr>
        <w:t>D</w:t>
      </w:r>
      <w:r w:rsidR="00B62A4E" w:rsidRPr="004E44F1">
        <w:rPr>
          <w:lang w:val="nl-NL"/>
        </w:rPr>
        <w:t>uur en beëindiging van de overeenkomst.</w:t>
      </w:r>
      <w:r w:rsidR="004E44F1">
        <w:rPr>
          <w:lang w:val="nl-NL"/>
        </w:rPr>
        <w:br/>
      </w:r>
    </w:p>
    <w:p w14:paraId="3612E14B" w14:textId="77777777" w:rsidR="00B62A4E" w:rsidRDefault="00B62A4E" w:rsidP="00B62A4E">
      <w:pPr>
        <w:rPr>
          <w:lang w:val="nl-NL"/>
        </w:rPr>
      </w:pPr>
      <w:r w:rsidRPr="00B62A4E">
        <w:rPr>
          <w:lang w:val="nl-NL"/>
        </w:rPr>
        <w:t xml:space="preserve">Het bestuur voert de pensioenovereenkomst en de uitvoeringsovereenkomst zodanig uit dat de karakteristieken van de </w:t>
      </w:r>
      <w:r w:rsidR="00C26D62">
        <w:rPr>
          <w:lang w:val="nl-NL"/>
        </w:rPr>
        <w:t>CDC-pensioenregeling</w:t>
      </w:r>
      <w:r w:rsidRPr="00B62A4E">
        <w:rPr>
          <w:lang w:val="nl-NL"/>
        </w:rPr>
        <w:t xml:space="preserve"> in stand blijven.</w:t>
      </w:r>
    </w:p>
    <w:p w14:paraId="0D59CB19" w14:textId="77777777" w:rsidR="004E44F1" w:rsidRPr="00B62A4E" w:rsidRDefault="004E44F1" w:rsidP="00B62A4E">
      <w:pPr>
        <w:rPr>
          <w:lang w:val="nl-NL"/>
        </w:rPr>
      </w:pPr>
    </w:p>
    <w:p w14:paraId="48D1312F" w14:textId="77777777" w:rsidR="004E44F1" w:rsidRDefault="004E44F1">
      <w:pPr>
        <w:spacing w:after="200" w:line="276" w:lineRule="auto"/>
        <w:rPr>
          <w:lang w:val="nl-NL"/>
        </w:rPr>
      </w:pPr>
      <w:r>
        <w:rPr>
          <w:lang w:val="nl-NL"/>
        </w:rPr>
        <w:br w:type="page"/>
      </w:r>
    </w:p>
    <w:p w14:paraId="1C58AD45" w14:textId="77777777" w:rsidR="00B62A4E" w:rsidRPr="00B62A4E" w:rsidRDefault="00B62A4E" w:rsidP="004E44F1">
      <w:pPr>
        <w:pStyle w:val="Kop1"/>
        <w:rPr>
          <w:rFonts w:hint="eastAsia"/>
          <w:lang w:val="nl-NL"/>
        </w:rPr>
      </w:pPr>
      <w:bookmarkStart w:id="27" w:name="_Toc231804753"/>
      <w:r w:rsidRPr="00B62A4E">
        <w:rPr>
          <w:lang w:val="nl-NL"/>
        </w:rPr>
        <w:lastRenderedPageBreak/>
        <w:t>Pensioenaanspraken</w:t>
      </w:r>
      <w:bookmarkEnd w:id="27"/>
    </w:p>
    <w:p w14:paraId="10FBF7B3" w14:textId="77777777" w:rsidR="004E44F1" w:rsidRDefault="004E44F1" w:rsidP="00B62A4E">
      <w:pPr>
        <w:rPr>
          <w:lang w:val="nl-NL"/>
        </w:rPr>
      </w:pPr>
    </w:p>
    <w:p w14:paraId="7B9E8BDB" w14:textId="6698A637" w:rsidR="00B62A4E" w:rsidRPr="00B62A4E" w:rsidRDefault="00B62A4E" w:rsidP="00B62A4E">
      <w:pPr>
        <w:rPr>
          <w:lang w:val="nl-NL"/>
        </w:rPr>
      </w:pPr>
      <w:r w:rsidRPr="00B62A4E">
        <w:rPr>
          <w:lang w:val="nl-NL"/>
        </w:rPr>
        <w:t xml:space="preserve">De Basispensioenregeling 67 is een CDC-pensioenregeling. Kern van de regeling is dat de werkgever jaarlijks een </w:t>
      </w:r>
      <w:r w:rsidR="00104234">
        <w:rPr>
          <w:lang w:val="nl-NL"/>
        </w:rPr>
        <w:t>vaste CDC premie</w:t>
      </w:r>
      <w:r w:rsidRPr="00B62A4E">
        <w:rPr>
          <w:lang w:val="nl-NL"/>
        </w:rPr>
        <w:t xml:space="preserve"> beschikbaar stelt, waarbij door het fonds met deze vaste </w:t>
      </w:r>
      <w:r w:rsidR="00104234">
        <w:rPr>
          <w:lang w:val="nl-NL"/>
        </w:rPr>
        <w:t xml:space="preserve">CDC </w:t>
      </w:r>
      <w:r w:rsidRPr="00B62A4E">
        <w:rPr>
          <w:lang w:val="nl-NL"/>
        </w:rPr>
        <w:t xml:space="preserve">premie wordt gestreefd naar pensioenverwerving op basis van het middelloonstelsel. Hierna worden de hoofdkenmerken weergegeven. Daarbij wordt waar nodig onderscheid gemaakt tussen werknemers op wie de </w:t>
      </w:r>
      <w:r w:rsidR="00E70FDB">
        <w:rPr>
          <w:lang w:val="nl-NL"/>
        </w:rPr>
        <w:t>cao</w:t>
      </w:r>
      <w:r w:rsidRPr="00B62A4E">
        <w:rPr>
          <w:lang w:val="nl-NL"/>
        </w:rPr>
        <w:t xml:space="preserve"> (hierna in deze paragraaf te noemen: </w:t>
      </w:r>
      <w:r w:rsidR="00E70FDB">
        <w:rPr>
          <w:lang w:val="nl-NL"/>
        </w:rPr>
        <w:t>cao</w:t>
      </w:r>
      <w:r w:rsidRPr="00B62A4E">
        <w:rPr>
          <w:lang w:val="nl-NL"/>
        </w:rPr>
        <w:t>-werknemers) van toepassing is, werknemers met Personal Employment Contract (hierna in deze paragraaf te noemen: PEC-werknemers) en leden van het bestuur van de werkgever (hierna in deze paragraaf te noemen: bestuurders) waarmee op individuele basis een pensioenovereenkomst is gesloten. Indien de werknemers tezamen worden bedoeld, wordt over werknemers gesproken.</w:t>
      </w:r>
    </w:p>
    <w:p w14:paraId="0C684E84" w14:textId="77777777" w:rsidR="00B62A4E" w:rsidRPr="00B62A4E" w:rsidRDefault="00B62A4E" w:rsidP="004E44F1">
      <w:pPr>
        <w:pStyle w:val="Kop2"/>
        <w:rPr>
          <w:rFonts w:hint="eastAsia"/>
          <w:lang w:val="nl-NL"/>
        </w:rPr>
      </w:pPr>
      <w:bookmarkStart w:id="28" w:name="_Toc231804754"/>
      <w:r w:rsidRPr="00B62A4E">
        <w:rPr>
          <w:lang w:val="nl-NL"/>
        </w:rPr>
        <w:t>Kernelementen van de Basispensioenregeling 67</w:t>
      </w:r>
      <w:bookmarkEnd w:id="28"/>
    </w:p>
    <w:p w14:paraId="1898DE78" w14:textId="77777777" w:rsidR="004E44F1" w:rsidRDefault="004E44F1" w:rsidP="00B62A4E">
      <w:pPr>
        <w:rPr>
          <w:lang w:val="nl-NL"/>
        </w:rPr>
      </w:pPr>
    </w:p>
    <w:p w14:paraId="3B9B6421" w14:textId="77777777" w:rsidR="00B62A4E" w:rsidRPr="00B62A4E" w:rsidRDefault="00B62A4E" w:rsidP="00B62A4E">
      <w:pPr>
        <w:rPr>
          <w:lang w:val="nl-NL"/>
        </w:rPr>
      </w:pPr>
      <w:r w:rsidRPr="00B62A4E">
        <w:rPr>
          <w:lang w:val="nl-NL"/>
        </w:rPr>
        <w:t>De Basispensioenregeling 67 wordt aan de hand van de kernelementen van de regeling nader toegelicht.</w:t>
      </w:r>
    </w:p>
    <w:p w14:paraId="535D2B37" w14:textId="77777777" w:rsidR="00B62A4E" w:rsidRPr="00B62A4E" w:rsidRDefault="00B62A4E" w:rsidP="00B62A4E">
      <w:pPr>
        <w:rPr>
          <w:lang w:val="nl-NL"/>
        </w:rPr>
      </w:pPr>
    </w:p>
    <w:p w14:paraId="384FC608" w14:textId="77777777" w:rsidR="00B62A4E" w:rsidRPr="00B62A4E" w:rsidRDefault="00B62A4E" w:rsidP="004E44F1">
      <w:pPr>
        <w:ind w:left="2268" w:hanging="2268"/>
        <w:rPr>
          <w:lang w:val="nl-NL"/>
        </w:rPr>
      </w:pPr>
      <w:r w:rsidRPr="00B62A4E">
        <w:rPr>
          <w:lang w:val="nl-NL"/>
        </w:rPr>
        <w:t>Toetredingsleeftijd:</w:t>
      </w:r>
      <w:r w:rsidRPr="00B62A4E">
        <w:rPr>
          <w:lang w:val="nl-NL"/>
        </w:rPr>
        <w:tab/>
        <w:t xml:space="preserve">Voor </w:t>
      </w:r>
      <w:r w:rsidR="00E70FDB">
        <w:rPr>
          <w:lang w:val="nl-NL"/>
        </w:rPr>
        <w:t>cao</w:t>
      </w:r>
      <w:r w:rsidRPr="00B62A4E">
        <w:rPr>
          <w:lang w:val="nl-NL"/>
        </w:rPr>
        <w:t>-werknemers vangt het deelnemerschap aan op 1 januari 2014 dan wel de latere dag van indiensttreding bij de werkgever. Voor PEC-werknemers vangt het deelnemerschap aan op 1 januari 2014, dan wel de latere datum waarop zij PEC-werknemer worden. Voor bestuurders vangt het deelnemerschap aan op 1 januari 2015 dan wel de latere datum waaro</w:t>
      </w:r>
      <w:r w:rsidR="004E44F1">
        <w:rPr>
          <w:lang w:val="nl-NL"/>
        </w:rPr>
        <w:t>p zij bestuurder zijn geworden.</w:t>
      </w:r>
    </w:p>
    <w:p w14:paraId="676CEDB5" w14:textId="77777777" w:rsidR="00B62A4E" w:rsidRPr="00B62A4E" w:rsidRDefault="00B62A4E" w:rsidP="004E44F1">
      <w:pPr>
        <w:ind w:left="2268" w:hanging="2268"/>
        <w:rPr>
          <w:lang w:val="nl-NL"/>
        </w:rPr>
      </w:pPr>
    </w:p>
    <w:p w14:paraId="58E8198F" w14:textId="77777777" w:rsidR="00B62A4E" w:rsidRPr="00B62A4E" w:rsidRDefault="004E44F1" w:rsidP="004E44F1">
      <w:pPr>
        <w:ind w:left="2268" w:hanging="2268"/>
        <w:rPr>
          <w:lang w:val="nl-NL"/>
        </w:rPr>
      </w:pPr>
      <w:r>
        <w:rPr>
          <w:lang w:val="nl-NL"/>
        </w:rPr>
        <w:t>Karakter</w:t>
      </w:r>
    </w:p>
    <w:p w14:paraId="5B2976DD" w14:textId="2ED891E4" w:rsidR="00B62A4E" w:rsidRPr="00B62A4E" w:rsidRDefault="00B62A4E" w:rsidP="004E44F1">
      <w:pPr>
        <w:ind w:left="2268" w:hanging="2268"/>
        <w:rPr>
          <w:lang w:val="nl-NL"/>
        </w:rPr>
      </w:pPr>
      <w:r w:rsidRPr="00B62A4E">
        <w:rPr>
          <w:lang w:val="nl-NL"/>
        </w:rPr>
        <w:t>Pensioenregeling:</w:t>
      </w:r>
      <w:r w:rsidRPr="00B62A4E">
        <w:rPr>
          <w:lang w:val="nl-NL"/>
        </w:rPr>
        <w:tab/>
        <w:t xml:space="preserve">Omdat er nadrukkelijk wordt gestreefd naar pensioenopbouw op basis van middelloon is deze pensioenregeling in de zin van de Pensioenwet een uitkeringsovereenkomst. Omdat de pensioenregeling gebaseerd is op een </w:t>
      </w:r>
      <w:r w:rsidR="00104234">
        <w:rPr>
          <w:lang w:val="nl-NL"/>
        </w:rPr>
        <w:t xml:space="preserve">vaste CDC </w:t>
      </w:r>
      <w:r w:rsidRPr="00B62A4E">
        <w:rPr>
          <w:lang w:val="nl-NL"/>
        </w:rPr>
        <w:t xml:space="preserve">premie die </w:t>
      </w:r>
      <w:r w:rsidR="00104234">
        <w:rPr>
          <w:lang w:val="nl-NL"/>
        </w:rPr>
        <w:t xml:space="preserve">van te voren is overeengekomen door sociale partners </w:t>
      </w:r>
      <w:r w:rsidRPr="00B62A4E">
        <w:rPr>
          <w:lang w:val="nl-NL"/>
        </w:rPr>
        <w:t>is deze pensioenovereenkomst volgens de internationale boekhoudkundige regels een premieovereenkomst.</w:t>
      </w:r>
    </w:p>
    <w:p w14:paraId="60C1D60C" w14:textId="77777777" w:rsidR="00B62A4E" w:rsidRPr="00B62A4E" w:rsidRDefault="00B62A4E" w:rsidP="004E44F1">
      <w:pPr>
        <w:ind w:left="2268" w:hanging="2268"/>
        <w:rPr>
          <w:lang w:val="nl-NL"/>
        </w:rPr>
      </w:pPr>
    </w:p>
    <w:p w14:paraId="073D7B6E" w14:textId="77777777" w:rsidR="00B62A4E" w:rsidRPr="00B62A4E" w:rsidRDefault="00B62A4E" w:rsidP="004E44F1">
      <w:pPr>
        <w:ind w:left="2268" w:hanging="2268"/>
        <w:rPr>
          <w:lang w:val="nl-NL"/>
        </w:rPr>
      </w:pPr>
      <w:r w:rsidRPr="00B62A4E">
        <w:rPr>
          <w:lang w:val="nl-NL"/>
        </w:rPr>
        <w:t>Pensioensalaris:</w:t>
      </w:r>
      <w:r w:rsidRPr="00B62A4E">
        <w:rPr>
          <w:lang w:val="nl-NL"/>
        </w:rPr>
        <w:tab/>
      </w:r>
      <w:r w:rsidRPr="004E44F1">
        <w:rPr>
          <w:i/>
          <w:lang w:val="nl-NL"/>
        </w:rPr>
        <w:t>C</w:t>
      </w:r>
      <w:r w:rsidR="00E70FDB">
        <w:rPr>
          <w:i/>
          <w:lang w:val="nl-NL"/>
        </w:rPr>
        <w:t>ao</w:t>
      </w:r>
      <w:r w:rsidRPr="004E44F1">
        <w:rPr>
          <w:i/>
          <w:lang w:val="nl-NL"/>
        </w:rPr>
        <w:t>-werknemers:</w:t>
      </w:r>
      <w:r w:rsidR="004E44F1">
        <w:rPr>
          <w:lang w:val="nl-NL"/>
        </w:rPr>
        <w:br/>
      </w:r>
      <w:r w:rsidRPr="00B62A4E">
        <w:rPr>
          <w:lang w:val="nl-NL"/>
        </w:rPr>
        <w:t xml:space="preserve">Het pensioensalaris bestaat uit de volgende beloningselementen: </w:t>
      </w:r>
    </w:p>
    <w:p w14:paraId="5CB4E21B" w14:textId="10BDB6C2" w:rsidR="005E43E2" w:rsidRPr="004E44F1" w:rsidRDefault="0023776C" w:rsidP="001E699B">
      <w:pPr>
        <w:pStyle w:val="Lijstalinea"/>
        <w:numPr>
          <w:ilvl w:val="0"/>
          <w:numId w:val="18"/>
        </w:numPr>
        <w:ind w:left="2694" w:hanging="426"/>
        <w:rPr>
          <w:lang w:val="nl-NL"/>
        </w:rPr>
      </w:pPr>
      <w:r w:rsidRPr="005E43E2">
        <w:rPr>
          <w:lang w:val="nl-NL"/>
        </w:rPr>
        <w:t>H</w:t>
      </w:r>
      <w:r w:rsidR="00B62A4E" w:rsidRPr="005E43E2">
        <w:rPr>
          <w:lang w:val="nl-NL"/>
        </w:rPr>
        <w:t>et bruto maandsalaris, waaronder de</w:t>
      </w:r>
      <w:r w:rsidR="00AA53F4" w:rsidRPr="005E43E2">
        <w:rPr>
          <w:lang w:val="nl-NL"/>
        </w:rPr>
        <w:t xml:space="preserve"> </w:t>
      </w:r>
      <w:r w:rsidR="00AA53F4">
        <w:rPr>
          <w:lang w:val="nl-NL"/>
        </w:rPr>
        <w:t>Persoonlijke Toeslag met Index</w:t>
      </w:r>
      <w:r w:rsidR="0037782B">
        <w:rPr>
          <w:lang w:val="nl-NL"/>
        </w:rPr>
        <w:t>,</w:t>
      </w:r>
      <w:r w:rsidR="00AA53F4">
        <w:rPr>
          <w:lang w:val="nl-NL"/>
        </w:rPr>
        <w:t xml:space="preserve"> de Persoonlijke Toeslag met Afbouw</w:t>
      </w:r>
      <w:r w:rsidR="0037782B">
        <w:rPr>
          <w:lang w:val="nl-NL"/>
        </w:rPr>
        <w:t>, de ploegentoeslag en de consignatievergoeding</w:t>
      </w:r>
      <w:r w:rsidR="00AA53F4">
        <w:rPr>
          <w:lang w:val="nl-NL"/>
        </w:rPr>
        <w:t xml:space="preserve">. </w:t>
      </w:r>
    </w:p>
    <w:p w14:paraId="22531A06" w14:textId="77777777" w:rsidR="00B62A4E" w:rsidRPr="004E44F1" w:rsidRDefault="00B62A4E" w:rsidP="00EA4E15">
      <w:pPr>
        <w:pStyle w:val="Lijstalinea"/>
        <w:numPr>
          <w:ilvl w:val="0"/>
          <w:numId w:val="0"/>
        </w:numPr>
        <w:ind w:left="2694"/>
        <w:rPr>
          <w:lang w:val="nl-NL"/>
        </w:rPr>
      </w:pPr>
    </w:p>
    <w:p w14:paraId="691A2774" w14:textId="77777777" w:rsidR="004E44F1" w:rsidRDefault="004E44F1">
      <w:pPr>
        <w:spacing w:after="200" w:line="276" w:lineRule="auto"/>
        <w:rPr>
          <w:lang w:val="nl-NL"/>
        </w:rPr>
      </w:pPr>
      <w:r>
        <w:rPr>
          <w:lang w:val="nl-NL"/>
        </w:rPr>
        <w:br w:type="page"/>
      </w:r>
    </w:p>
    <w:p w14:paraId="2B686DBA" w14:textId="44174D33" w:rsidR="00B62A4E" w:rsidRPr="00B62A4E" w:rsidRDefault="004E44F1" w:rsidP="004E44F1">
      <w:pPr>
        <w:ind w:left="2268" w:hanging="2268"/>
        <w:rPr>
          <w:lang w:val="nl-NL"/>
        </w:rPr>
      </w:pPr>
      <w:r>
        <w:rPr>
          <w:lang w:val="nl-NL"/>
        </w:rPr>
        <w:lastRenderedPageBreak/>
        <w:tab/>
      </w:r>
      <w:r w:rsidR="00B62A4E" w:rsidRPr="00B62A4E">
        <w:rPr>
          <w:lang w:val="nl-NL"/>
        </w:rPr>
        <w:t>Het pensioensalaris bedraagt o</w:t>
      </w:r>
      <w:r>
        <w:rPr>
          <w:lang w:val="nl-NL"/>
        </w:rPr>
        <w:t xml:space="preserve">p jaarbasis maximaal € </w:t>
      </w:r>
      <w:r w:rsidR="00B12458">
        <w:rPr>
          <w:lang w:val="nl-NL"/>
        </w:rPr>
        <w:t>137.800</w:t>
      </w:r>
      <w:r w:rsidR="005E43E2">
        <w:rPr>
          <w:lang w:val="nl-NL"/>
        </w:rPr>
        <w:t xml:space="preserve"> (20</w:t>
      </w:r>
      <w:r w:rsidR="003A2101">
        <w:rPr>
          <w:lang w:val="nl-NL"/>
        </w:rPr>
        <w:t>2</w:t>
      </w:r>
      <w:r w:rsidR="007F2B9F">
        <w:rPr>
          <w:lang w:val="nl-NL"/>
        </w:rPr>
        <w:t>6</w:t>
      </w:r>
      <w:r w:rsidR="005E43E2">
        <w:rPr>
          <w:lang w:val="nl-NL"/>
        </w:rPr>
        <w:t>)</w:t>
      </w:r>
      <w:r>
        <w:rPr>
          <w:lang w:val="nl-NL"/>
        </w:rPr>
        <w:t>.</w:t>
      </w:r>
      <w:r>
        <w:rPr>
          <w:lang w:val="nl-NL"/>
        </w:rPr>
        <w:br/>
      </w:r>
      <w:r>
        <w:rPr>
          <w:lang w:val="nl-NL"/>
        </w:rPr>
        <w:br/>
      </w:r>
      <w:r w:rsidR="00B62A4E" w:rsidRPr="004E44F1">
        <w:rPr>
          <w:i/>
          <w:lang w:val="nl-NL"/>
        </w:rPr>
        <w:t>PEC-werknemers en bestuurders</w:t>
      </w:r>
      <w:r>
        <w:rPr>
          <w:lang w:val="nl-NL"/>
        </w:rPr>
        <w:br/>
      </w:r>
      <w:r w:rsidR="00B62A4E" w:rsidRPr="00B62A4E">
        <w:rPr>
          <w:lang w:val="nl-NL"/>
        </w:rPr>
        <w:t>Twaalf maal het bruto persoonlijk maandsalaris.</w:t>
      </w:r>
      <w:r>
        <w:rPr>
          <w:lang w:val="nl-NL"/>
        </w:rPr>
        <w:br/>
      </w:r>
      <w:r>
        <w:rPr>
          <w:lang w:val="nl-NL"/>
        </w:rPr>
        <w:br/>
      </w:r>
      <w:r w:rsidR="00B62A4E" w:rsidRPr="00B62A4E">
        <w:rPr>
          <w:lang w:val="nl-NL"/>
        </w:rPr>
        <w:t xml:space="preserve">Het pensioensalaris bedraagt maximaal € </w:t>
      </w:r>
      <w:r w:rsidR="00B12458">
        <w:rPr>
          <w:lang w:val="nl-NL"/>
        </w:rPr>
        <w:t>137.800</w:t>
      </w:r>
      <w:r w:rsidR="005E43E2">
        <w:rPr>
          <w:lang w:val="nl-NL"/>
        </w:rPr>
        <w:t xml:space="preserve"> (</w:t>
      </w:r>
      <w:r w:rsidR="007441C1">
        <w:rPr>
          <w:lang w:val="nl-NL"/>
        </w:rPr>
        <w:t>202</w:t>
      </w:r>
      <w:r w:rsidR="007F2B9F">
        <w:rPr>
          <w:lang w:val="nl-NL"/>
        </w:rPr>
        <w:t>6</w:t>
      </w:r>
      <w:r w:rsidR="005E43E2">
        <w:rPr>
          <w:lang w:val="nl-NL"/>
        </w:rPr>
        <w:t>)</w:t>
      </w:r>
      <w:r w:rsidR="00B62A4E" w:rsidRPr="00B62A4E">
        <w:rPr>
          <w:lang w:val="nl-NL"/>
        </w:rPr>
        <w:t xml:space="preserve"> op jaarbasis.</w:t>
      </w:r>
    </w:p>
    <w:p w14:paraId="60463137" w14:textId="77777777" w:rsidR="00B62A4E" w:rsidRPr="00B62A4E" w:rsidRDefault="00B62A4E" w:rsidP="004E44F1">
      <w:pPr>
        <w:ind w:left="2268" w:hanging="2268"/>
        <w:rPr>
          <w:lang w:val="nl-NL"/>
        </w:rPr>
      </w:pPr>
    </w:p>
    <w:p w14:paraId="7FDAF11B" w14:textId="1F58788C" w:rsidR="00B62A4E" w:rsidRPr="00B62A4E" w:rsidRDefault="00B62A4E" w:rsidP="004E44F1">
      <w:pPr>
        <w:ind w:left="2268" w:hanging="2268"/>
        <w:rPr>
          <w:lang w:val="nl-NL"/>
        </w:rPr>
      </w:pPr>
      <w:r w:rsidRPr="00B62A4E">
        <w:rPr>
          <w:lang w:val="nl-NL"/>
        </w:rPr>
        <w:t>Franchise:</w:t>
      </w:r>
      <w:r w:rsidRPr="00B62A4E">
        <w:rPr>
          <w:lang w:val="nl-NL"/>
        </w:rPr>
        <w:tab/>
        <w:t>De franchise bedraagt per 1 januari 20</w:t>
      </w:r>
      <w:r w:rsidR="007441C1">
        <w:rPr>
          <w:lang w:val="nl-NL"/>
        </w:rPr>
        <w:t>2</w:t>
      </w:r>
      <w:r w:rsidR="007F2B9F">
        <w:rPr>
          <w:lang w:val="nl-NL"/>
        </w:rPr>
        <w:t>6</w:t>
      </w:r>
      <w:r w:rsidRPr="00B62A4E">
        <w:rPr>
          <w:lang w:val="nl-NL"/>
        </w:rPr>
        <w:t xml:space="preserve"> € </w:t>
      </w:r>
      <w:r w:rsidR="00BD1686">
        <w:rPr>
          <w:lang w:val="nl-NL"/>
        </w:rPr>
        <w:t>19.172</w:t>
      </w:r>
      <w:r w:rsidRPr="00B62A4E">
        <w:rPr>
          <w:lang w:val="nl-NL"/>
        </w:rPr>
        <w:t xml:space="preserve">  De franchise wordt daarna steeds verhoogd conform het bedrag dat op grond van de Wet op de loonbelasting 1964 minimaal als franchise in</w:t>
      </w:r>
      <w:r w:rsidR="004E44F1">
        <w:rPr>
          <w:lang w:val="nl-NL"/>
        </w:rPr>
        <w:t xml:space="preserve"> aanmerking moet worden genomen.</w:t>
      </w:r>
    </w:p>
    <w:p w14:paraId="0D6088C1" w14:textId="77777777" w:rsidR="00B62A4E" w:rsidRPr="00B62A4E" w:rsidRDefault="00B62A4E" w:rsidP="004E44F1">
      <w:pPr>
        <w:ind w:left="2268" w:hanging="2268"/>
        <w:rPr>
          <w:lang w:val="nl-NL"/>
        </w:rPr>
      </w:pPr>
    </w:p>
    <w:p w14:paraId="4B6B15FA" w14:textId="77777777" w:rsidR="00B62A4E" w:rsidRPr="00B62A4E" w:rsidRDefault="00B62A4E" w:rsidP="004E44F1">
      <w:pPr>
        <w:ind w:left="2268" w:hanging="2268"/>
        <w:rPr>
          <w:lang w:val="nl-NL"/>
        </w:rPr>
      </w:pPr>
      <w:r w:rsidRPr="00B62A4E">
        <w:rPr>
          <w:lang w:val="nl-NL"/>
        </w:rPr>
        <w:t xml:space="preserve">Pensioengrondslag: </w:t>
      </w:r>
      <w:r w:rsidRPr="00B62A4E">
        <w:rPr>
          <w:lang w:val="nl-NL"/>
        </w:rPr>
        <w:tab/>
        <w:t>Het pensioensalaris minus de franchise. De pensioengrondslag wordt maandelijks vastgesteld.</w:t>
      </w:r>
    </w:p>
    <w:p w14:paraId="6636E4B2" w14:textId="77777777" w:rsidR="00B62A4E" w:rsidRPr="00B62A4E" w:rsidRDefault="00B62A4E" w:rsidP="004E44F1">
      <w:pPr>
        <w:ind w:left="2268" w:hanging="2268"/>
        <w:rPr>
          <w:lang w:val="nl-NL"/>
        </w:rPr>
      </w:pPr>
    </w:p>
    <w:p w14:paraId="62F06870" w14:textId="7213FFB1" w:rsidR="00B62A4E" w:rsidRPr="00B62A4E" w:rsidRDefault="00B62A4E" w:rsidP="004E44F1">
      <w:pPr>
        <w:ind w:left="2268" w:hanging="2268"/>
        <w:rPr>
          <w:lang w:val="nl-NL"/>
        </w:rPr>
      </w:pPr>
      <w:r w:rsidRPr="00B62A4E">
        <w:rPr>
          <w:lang w:val="nl-NL"/>
        </w:rPr>
        <w:t>Ouderdomspensioen:</w:t>
      </w:r>
      <w:r w:rsidRPr="00B62A4E">
        <w:rPr>
          <w:lang w:val="nl-NL"/>
        </w:rPr>
        <w:tab/>
      </w:r>
      <w:r w:rsidR="00DD2000">
        <w:rPr>
          <w:lang w:val="nl-NL"/>
        </w:rPr>
        <w:t xml:space="preserve">Sociale partners hebben afgesproken om een fiscaal maximale pensioenregeling uit te voeren. Voor wat betreft het ouderdomspensioen impliceert dit dat het fiscale maximum van 1,875% bij een pensioenrichtleeftijd van 68 elk jaar wordt herrekend op basis van fondsgrondslagen naar het overeenkomstige percentage op pensioenrichtleeftijd 67. Voor het jaar </w:t>
      </w:r>
      <w:r w:rsidR="007F2B9F">
        <w:rPr>
          <w:lang w:val="nl-NL"/>
        </w:rPr>
        <w:t>6</w:t>
      </w:r>
      <w:r w:rsidR="00905B07">
        <w:rPr>
          <w:lang w:val="nl-NL"/>
        </w:rPr>
        <w:t>resulteert</w:t>
      </w:r>
      <w:r w:rsidR="00DD2000">
        <w:rPr>
          <w:lang w:val="nl-NL"/>
        </w:rPr>
        <w:t xml:space="preserve"> dit p</w:t>
      </w:r>
      <w:r w:rsidRPr="00B62A4E">
        <w:rPr>
          <w:lang w:val="nl-NL"/>
        </w:rPr>
        <w:t>er maand</w:t>
      </w:r>
      <w:r w:rsidR="00905B07">
        <w:rPr>
          <w:lang w:val="nl-NL"/>
        </w:rPr>
        <w:t xml:space="preserve"> in de opbouw van</w:t>
      </w:r>
      <w:r w:rsidR="00DD2000">
        <w:rPr>
          <w:lang w:val="nl-NL"/>
        </w:rPr>
        <w:t xml:space="preserve"> </w:t>
      </w:r>
      <w:r w:rsidR="0007286C">
        <w:rPr>
          <w:lang w:val="nl-NL"/>
        </w:rPr>
        <w:t>1,</w:t>
      </w:r>
      <w:r w:rsidR="009C6DF9">
        <w:rPr>
          <w:lang w:val="nl-NL"/>
        </w:rPr>
        <w:t>7</w:t>
      </w:r>
      <w:r w:rsidR="00382DCA">
        <w:rPr>
          <w:lang w:val="nl-NL"/>
        </w:rPr>
        <w:t>6</w:t>
      </w:r>
      <w:r w:rsidR="0084593E">
        <w:rPr>
          <w:lang w:val="nl-NL"/>
        </w:rPr>
        <w:t>4</w:t>
      </w:r>
      <w:r w:rsidR="0007286C">
        <w:rPr>
          <w:lang w:val="nl-NL"/>
        </w:rPr>
        <w:t>%</w:t>
      </w:r>
      <w:r w:rsidRPr="00B62A4E">
        <w:rPr>
          <w:lang w:val="nl-NL"/>
        </w:rPr>
        <w:t xml:space="preserve"> ouderdomspensioen over de naar maandbasis herrekende pensioengrondslag. Als blijkt dat de vaste premie onvoldoende is om in enig jaar </w:t>
      </w:r>
      <w:r w:rsidR="00DD2000">
        <w:rPr>
          <w:lang w:val="nl-NL"/>
        </w:rPr>
        <w:t xml:space="preserve">het fiscaal maximale percentage </w:t>
      </w:r>
      <w:r w:rsidRPr="00B62A4E">
        <w:rPr>
          <w:lang w:val="nl-NL"/>
        </w:rPr>
        <w:t>ouderdomspensioen op te bouwen, dan wordt het opbouwpercentage verlaagd.</w:t>
      </w:r>
    </w:p>
    <w:p w14:paraId="3BE3807B" w14:textId="77777777" w:rsidR="00B62A4E" w:rsidRPr="00B62A4E" w:rsidRDefault="00B62A4E" w:rsidP="004E44F1">
      <w:pPr>
        <w:ind w:left="2268" w:hanging="2268"/>
        <w:rPr>
          <w:lang w:val="nl-NL"/>
        </w:rPr>
      </w:pPr>
    </w:p>
    <w:p w14:paraId="21C4C8D3" w14:textId="77777777" w:rsidR="00B62A4E" w:rsidRPr="00B62A4E" w:rsidRDefault="00B62A4E" w:rsidP="004E44F1">
      <w:pPr>
        <w:ind w:left="2268" w:hanging="2268"/>
        <w:rPr>
          <w:lang w:val="nl-NL"/>
        </w:rPr>
      </w:pPr>
      <w:r w:rsidRPr="00B62A4E">
        <w:rPr>
          <w:lang w:val="nl-NL"/>
        </w:rPr>
        <w:t>Pensioenrichtleeftijd:</w:t>
      </w:r>
      <w:r w:rsidRPr="00B62A4E">
        <w:rPr>
          <w:lang w:val="nl-NL"/>
        </w:rPr>
        <w:tab/>
        <w:t>De dag waarop de (gewezen) deelnemer 67 jaar wordt.</w:t>
      </w:r>
    </w:p>
    <w:p w14:paraId="15590DD6" w14:textId="77777777" w:rsidR="00B62A4E" w:rsidRPr="00B62A4E" w:rsidRDefault="00B62A4E" w:rsidP="004E44F1">
      <w:pPr>
        <w:ind w:left="2268" w:hanging="2268"/>
        <w:rPr>
          <w:lang w:val="nl-NL"/>
        </w:rPr>
      </w:pPr>
    </w:p>
    <w:p w14:paraId="147493A7" w14:textId="6E69219A" w:rsidR="00B62A4E" w:rsidRPr="00B62A4E" w:rsidRDefault="00B62A4E" w:rsidP="004E44F1">
      <w:pPr>
        <w:ind w:left="2268" w:hanging="2268"/>
        <w:rPr>
          <w:lang w:val="nl-NL"/>
        </w:rPr>
      </w:pPr>
      <w:r w:rsidRPr="00B62A4E">
        <w:rPr>
          <w:lang w:val="nl-NL"/>
        </w:rPr>
        <w:t>Partnerpensioen:</w:t>
      </w:r>
      <w:r w:rsidRPr="00B62A4E">
        <w:rPr>
          <w:lang w:val="nl-NL"/>
        </w:rPr>
        <w:tab/>
        <w:t>Het partnerpensioen bedraagt</w:t>
      </w:r>
      <w:r w:rsidR="00DD2000">
        <w:rPr>
          <w:lang w:val="nl-NL"/>
        </w:rPr>
        <w:t xml:space="preserve"> 1,313% van de </w:t>
      </w:r>
      <w:r w:rsidR="003338ED">
        <w:rPr>
          <w:lang w:val="nl-NL"/>
        </w:rPr>
        <w:t xml:space="preserve">naar maandbasis herrekende </w:t>
      </w:r>
      <w:r w:rsidR="00DD2000">
        <w:rPr>
          <w:lang w:val="nl-NL"/>
        </w:rPr>
        <w:t>pensioengrondslag</w:t>
      </w:r>
      <w:r w:rsidRPr="00B62A4E">
        <w:rPr>
          <w:lang w:val="nl-NL"/>
        </w:rPr>
        <w:t xml:space="preserve">. Als de opbouw van het ouderdomspensioen </w:t>
      </w:r>
      <w:r w:rsidR="00DD2000">
        <w:rPr>
          <w:lang w:val="nl-NL"/>
        </w:rPr>
        <w:t xml:space="preserve">in enig jaar </w:t>
      </w:r>
      <w:r w:rsidRPr="00B62A4E">
        <w:rPr>
          <w:lang w:val="nl-NL"/>
        </w:rPr>
        <w:t>wordt verlaagd, wordt ook</w:t>
      </w:r>
      <w:r w:rsidR="00DD2000">
        <w:rPr>
          <w:lang w:val="nl-NL"/>
        </w:rPr>
        <w:t xml:space="preserve"> het op te bouwen</w:t>
      </w:r>
      <w:r w:rsidRPr="00B62A4E">
        <w:rPr>
          <w:lang w:val="nl-NL"/>
        </w:rPr>
        <w:t xml:space="preserve"> partnerpensioen</w:t>
      </w:r>
      <w:r w:rsidR="00DD2000">
        <w:rPr>
          <w:lang w:val="nl-NL"/>
        </w:rPr>
        <w:t xml:space="preserve"> in het betreffende jaar</w:t>
      </w:r>
      <w:r w:rsidRPr="00B62A4E">
        <w:rPr>
          <w:lang w:val="nl-NL"/>
        </w:rPr>
        <w:t xml:space="preserve"> verlaagd.</w:t>
      </w:r>
      <w:r w:rsidR="00905B07">
        <w:rPr>
          <w:lang w:val="nl-NL"/>
        </w:rPr>
        <w:t xml:space="preserve"> Bij overlijden van een deelnemer, wordt het partnerpensioen verhoogd met het tot de pensioendatum nog op te bouwen partnerpensioen (het te bereiken partnerpensioen). </w:t>
      </w:r>
    </w:p>
    <w:p w14:paraId="57511707" w14:textId="77777777" w:rsidR="00B62A4E" w:rsidRPr="00B62A4E" w:rsidRDefault="00B62A4E" w:rsidP="004E44F1">
      <w:pPr>
        <w:ind w:left="2268" w:hanging="2268"/>
        <w:rPr>
          <w:lang w:val="nl-NL"/>
        </w:rPr>
      </w:pPr>
    </w:p>
    <w:p w14:paraId="5CED4B92" w14:textId="1F1C0D97" w:rsidR="00B62A4E" w:rsidRDefault="00B62A4E" w:rsidP="004E44F1">
      <w:pPr>
        <w:ind w:left="2268" w:hanging="2268"/>
        <w:rPr>
          <w:lang w:val="nl-NL"/>
        </w:rPr>
      </w:pPr>
      <w:r w:rsidRPr="00B62A4E">
        <w:rPr>
          <w:lang w:val="nl-NL"/>
        </w:rPr>
        <w:t>Wezenpensioen:</w:t>
      </w:r>
      <w:r w:rsidRPr="00B62A4E">
        <w:rPr>
          <w:lang w:val="nl-NL"/>
        </w:rPr>
        <w:tab/>
        <w:t xml:space="preserve">Het wezenpensioen bedraagt 20% van het (te bereiken) partnerpensioen. Als de opbouw van het partnerpensioen </w:t>
      </w:r>
      <w:r w:rsidR="00DD2000">
        <w:rPr>
          <w:lang w:val="nl-NL"/>
        </w:rPr>
        <w:t xml:space="preserve">in enig jaar </w:t>
      </w:r>
      <w:r w:rsidRPr="00B62A4E">
        <w:rPr>
          <w:lang w:val="nl-NL"/>
        </w:rPr>
        <w:t>wordt verlaagd, wordt ook de opbouw van het wezenpensioen</w:t>
      </w:r>
      <w:r w:rsidR="00DD2000">
        <w:rPr>
          <w:lang w:val="nl-NL"/>
        </w:rPr>
        <w:t xml:space="preserve"> in dat jaar</w:t>
      </w:r>
      <w:r w:rsidRPr="00B62A4E">
        <w:rPr>
          <w:lang w:val="nl-NL"/>
        </w:rPr>
        <w:t xml:space="preserve"> verlaagd.</w:t>
      </w:r>
    </w:p>
    <w:p w14:paraId="16790CB0" w14:textId="77777777" w:rsidR="00DD2000" w:rsidRDefault="00DD2000" w:rsidP="004E44F1">
      <w:pPr>
        <w:ind w:left="2268" w:hanging="2268"/>
        <w:rPr>
          <w:lang w:val="nl-NL"/>
        </w:rPr>
      </w:pPr>
    </w:p>
    <w:p w14:paraId="3CE87DF3" w14:textId="6D643F73" w:rsidR="00DD2000" w:rsidRPr="00B62A4E" w:rsidRDefault="00DD2000" w:rsidP="004E44F1">
      <w:pPr>
        <w:ind w:left="2268" w:hanging="2268"/>
        <w:rPr>
          <w:lang w:val="nl-NL"/>
        </w:rPr>
      </w:pPr>
      <w:r>
        <w:rPr>
          <w:lang w:val="nl-NL"/>
        </w:rPr>
        <w:t>Tijdelijk partnerpensioen</w:t>
      </w:r>
      <w:r w:rsidR="008114E9">
        <w:rPr>
          <w:lang w:val="nl-NL"/>
        </w:rPr>
        <w:t>:</w:t>
      </w:r>
      <w:r w:rsidR="008114E9">
        <w:rPr>
          <w:lang w:val="nl-NL"/>
        </w:rPr>
        <w:tab/>
      </w:r>
      <w:r>
        <w:rPr>
          <w:lang w:val="nl-NL"/>
        </w:rPr>
        <w:t>Indien een deelnemer</w:t>
      </w:r>
      <w:r w:rsidR="00041ED1">
        <w:rPr>
          <w:lang w:val="nl-NL"/>
        </w:rPr>
        <w:t xml:space="preserve"> </w:t>
      </w:r>
      <w:r>
        <w:rPr>
          <w:lang w:val="nl-NL"/>
        </w:rPr>
        <w:t>overlijdt, ontvangt zijn partner een tijdelijk partnerpensioen tot aan de ingangsdatum van de AOW van de partner. Dit tijdelijk partnerpensioen bedraagt E</w:t>
      </w:r>
      <w:r w:rsidR="00041ED1">
        <w:rPr>
          <w:lang w:val="nl-NL"/>
        </w:rPr>
        <w:t xml:space="preserve">UR </w:t>
      </w:r>
      <w:r w:rsidR="00612757">
        <w:rPr>
          <w:lang w:val="nl-NL"/>
        </w:rPr>
        <w:t>21.299</w:t>
      </w:r>
      <w:r w:rsidR="00B91CFE">
        <w:rPr>
          <w:lang w:val="nl-NL"/>
        </w:rPr>
        <w:t xml:space="preserve"> </w:t>
      </w:r>
      <w:r w:rsidR="00041ED1">
        <w:rPr>
          <w:lang w:val="nl-NL"/>
        </w:rPr>
        <w:t>(begin 20</w:t>
      </w:r>
      <w:r w:rsidR="003A2101">
        <w:rPr>
          <w:lang w:val="nl-NL"/>
        </w:rPr>
        <w:t>2</w:t>
      </w:r>
      <w:r w:rsidR="007F2B9F">
        <w:rPr>
          <w:lang w:val="nl-NL"/>
        </w:rPr>
        <w:t>6</w:t>
      </w:r>
      <w:r>
        <w:rPr>
          <w:lang w:val="nl-NL"/>
        </w:rPr>
        <w:t xml:space="preserve">). </w:t>
      </w:r>
      <w:r w:rsidR="00D00416">
        <w:rPr>
          <w:lang w:val="nl-NL"/>
        </w:rPr>
        <w:t xml:space="preserve">Voor niet ingegane uitkeringen wordt dit bedrag elk jaar verhoogd conform de verhoging van de Algemene Nabestaandenwet (Anw). </w:t>
      </w:r>
    </w:p>
    <w:p w14:paraId="3E34AE17" w14:textId="77777777" w:rsidR="00B62A4E" w:rsidRPr="00B62A4E" w:rsidRDefault="00B62A4E" w:rsidP="004E44F1">
      <w:pPr>
        <w:ind w:left="2268" w:hanging="2268"/>
        <w:rPr>
          <w:lang w:val="nl-NL"/>
        </w:rPr>
      </w:pPr>
    </w:p>
    <w:p w14:paraId="060787E5" w14:textId="77777777" w:rsidR="00B62A4E" w:rsidRPr="00B62A4E" w:rsidRDefault="00B62A4E" w:rsidP="004E44F1">
      <w:pPr>
        <w:ind w:left="2268" w:hanging="2268"/>
        <w:rPr>
          <w:lang w:val="nl-NL"/>
        </w:rPr>
      </w:pPr>
      <w:r w:rsidRPr="00B62A4E">
        <w:rPr>
          <w:lang w:val="nl-NL"/>
        </w:rPr>
        <w:t>Flexibilisering:</w:t>
      </w:r>
      <w:r w:rsidRPr="00B62A4E">
        <w:rPr>
          <w:lang w:val="nl-NL"/>
        </w:rPr>
        <w:tab/>
        <w:t>Er zijn diverse ‘flexibele’ elementen aanwezig zoals:</w:t>
      </w:r>
    </w:p>
    <w:p w14:paraId="69F50001" w14:textId="77777777" w:rsidR="00B62A4E" w:rsidRPr="004E44F1" w:rsidRDefault="0023776C" w:rsidP="001E699B">
      <w:pPr>
        <w:pStyle w:val="Lijstalinea"/>
        <w:numPr>
          <w:ilvl w:val="0"/>
          <w:numId w:val="19"/>
        </w:numPr>
        <w:ind w:left="2694" w:hanging="426"/>
        <w:rPr>
          <w:lang w:val="nl-NL"/>
        </w:rPr>
      </w:pPr>
      <w:r>
        <w:rPr>
          <w:lang w:val="nl-NL"/>
        </w:rPr>
        <w:t>D</w:t>
      </w:r>
      <w:r w:rsidR="00B62A4E" w:rsidRPr="004E44F1">
        <w:rPr>
          <w:lang w:val="nl-NL"/>
        </w:rPr>
        <w:t>e (gewezen) deelnemer kan het pensioen eerder (vanaf leeftijd 60 jaar) in laten gaan of kiezen voor deeltijdpensioen</w:t>
      </w:r>
      <w:r>
        <w:rPr>
          <w:lang w:val="nl-NL"/>
        </w:rPr>
        <w:t>.</w:t>
      </w:r>
    </w:p>
    <w:p w14:paraId="770E1FD2" w14:textId="77777777" w:rsidR="00B62A4E" w:rsidRPr="004E44F1" w:rsidRDefault="0023776C" w:rsidP="001E699B">
      <w:pPr>
        <w:pStyle w:val="Lijstalinea"/>
        <w:numPr>
          <w:ilvl w:val="0"/>
          <w:numId w:val="19"/>
        </w:numPr>
        <w:ind w:left="2694" w:hanging="426"/>
        <w:rPr>
          <w:lang w:val="nl-NL"/>
        </w:rPr>
      </w:pPr>
      <w:r>
        <w:rPr>
          <w:lang w:val="nl-NL"/>
        </w:rPr>
        <w:t>D</w:t>
      </w:r>
      <w:r w:rsidR="00B62A4E" w:rsidRPr="004E44F1">
        <w:rPr>
          <w:lang w:val="nl-NL"/>
        </w:rPr>
        <w:t>e (gewezen) deelnemer kan het partnerpensioen omzetten in ouderdomspensioen of het ouderdomspensioen omzetten in partnerpensioen (het partnerpensioen mag ten hoogste 70% bedragen van het ouderdomspensioen na uitruil)</w:t>
      </w:r>
      <w:r>
        <w:rPr>
          <w:lang w:val="nl-NL"/>
        </w:rPr>
        <w:t>.</w:t>
      </w:r>
    </w:p>
    <w:p w14:paraId="73E7A5FC" w14:textId="77777777" w:rsidR="00B62A4E" w:rsidRPr="004E44F1" w:rsidRDefault="0023776C" w:rsidP="001E699B">
      <w:pPr>
        <w:pStyle w:val="Lijstalinea"/>
        <w:numPr>
          <w:ilvl w:val="0"/>
          <w:numId w:val="19"/>
        </w:numPr>
        <w:ind w:left="2694" w:hanging="426"/>
        <w:rPr>
          <w:lang w:val="nl-NL"/>
        </w:rPr>
      </w:pPr>
      <w:r>
        <w:rPr>
          <w:lang w:val="nl-NL"/>
        </w:rPr>
        <w:lastRenderedPageBreak/>
        <w:t>A</w:t>
      </w:r>
      <w:r w:rsidR="00B62A4E" w:rsidRPr="004E44F1">
        <w:rPr>
          <w:lang w:val="nl-NL"/>
        </w:rPr>
        <w:t>ls het ouderdomspensioen voor de AOW-datum ingaat, kan de (gewezen) deelnemer er voor kiezen het pensioen tot aan de AOW-datum tijdelijk te verhogen</w:t>
      </w:r>
      <w:r>
        <w:rPr>
          <w:lang w:val="nl-NL"/>
        </w:rPr>
        <w:t>.</w:t>
      </w:r>
    </w:p>
    <w:p w14:paraId="5EF74A77" w14:textId="77777777" w:rsidR="00D649AD" w:rsidRDefault="0023776C" w:rsidP="001E699B">
      <w:pPr>
        <w:pStyle w:val="Lijstalinea"/>
        <w:numPr>
          <w:ilvl w:val="0"/>
          <w:numId w:val="19"/>
        </w:numPr>
        <w:ind w:left="2694" w:hanging="426"/>
        <w:rPr>
          <w:lang w:val="nl-NL"/>
        </w:rPr>
      </w:pPr>
      <w:r>
        <w:rPr>
          <w:lang w:val="nl-NL"/>
        </w:rPr>
        <w:t>D</w:t>
      </w:r>
      <w:r w:rsidR="00B62A4E" w:rsidRPr="004E44F1">
        <w:rPr>
          <w:lang w:val="nl-NL"/>
        </w:rPr>
        <w:t>e (gewezen) deelnemer kan binnen de bandbreedte 100:75 kiezen voor een tijdelijk verhoogd en daarna verlaagd pensioen of het omgekeerde</w:t>
      </w:r>
      <w:r>
        <w:rPr>
          <w:lang w:val="nl-NL"/>
        </w:rPr>
        <w:t>.</w:t>
      </w:r>
    </w:p>
    <w:p w14:paraId="3B419F4E" w14:textId="03F5D4EE" w:rsidR="00AF1391" w:rsidRPr="00D649AD" w:rsidRDefault="0023776C" w:rsidP="001E699B">
      <w:pPr>
        <w:pStyle w:val="Lijstalinea"/>
        <w:numPr>
          <w:ilvl w:val="0"/>
          <w:numId w:val="19"/>
        </w:numPr>
        <w:ind w:left="2694" w:hanging="426"/>
        <w:rPr>
          <w:lang w:val="nl-NL"/>
        </w:rPr>
      </w:pPr>
      <w:r w:rsidRPr="00AF1391">
        <w:rPr>
          <w:lang w:val="nl-NL"/>
        </w:rPr>
        <w:t>E</w:t>
      </w:r>
      <w:r w:rsidR="00B62A4E" w:rsidRPr="00AF1391">
        <w:rPr>
          <w:lang w:val="nl-NL"/>
        </w:rPr>
        <w:t xml:space="preserve">ffectuering van de in het reglement opgenomen keuzemogelijkheden vindt plaats op basis van door het bestuur vastgestelde rekenregels. Deze rekenregels zijn vastgelegd in het tabellenboek dat onderdeel is </w:t>
      </w:r>
      <w:r w:rsidR="007D52F2" w:rsidRPr="00AF1391">
        <w:rPr>
          <w:lang w:val="nl-NL"/>
        </w:rPr>
        <w:t xml:space="preserve">van het pensioenreglement. </w:t>
      </w:r>
    </w:p>
    <w:p w14:paraId="7BA9098D" w14:textId="23D0EFE9" w:rsidR="00B62A4E" w:rsidRDefault="00B62A4E" w:rsidP="004E44F1">
      <w:pPr>
        <w:ind w:left="2268" w:hanging="2268"/>
        <w:rPr>
          <w:lang w:val="nl-NL"/>
        </w:rPr>
      </w:pPr>
      <w:r w:rsidRPr="00B62A4E">
        <w:rPr>
          <w:lang w:val="nl-NL"/>
        </w:rPr>
        <w:t>Arbeidsongeschiktheid:</w:t>
      </w:r>
      <w:r w:rsidRPr="00B62A4E">
        <w:rPr>
          <w:lang w:val="nl-NL"/>
        </w:rPr>
        <w:tab/>
        <w:t>Indien een deelnemer arbeidsongeschikt wordt, heeft hij recht op premievrijstelling bij arbeidsongeschiktheid</w:t>
      </w:r>
      <w:r w:rsidR="00D00416">
        <w:rPr>
          <w:lang w:val="nl-NL"/>
        </w:rPr>
        <w:t xml:space="preserve"> voor wat betreft het ouderdoms</w:t>
      </w:r>
      <w:r w:rsidR="00CA2CDE">
        <w:rPr>
          <w:lang w:val="nl-NL"/>
        </w:rPr>
        <w:t>-,</w:t>
      </w:r>
      <w:r w:rsidR="00D00416">
        <w:rPr>
          <w:lang w:val="nl-NL"/>
        </w:rPr>
        <w:t xml:space="preserve"> nabestaanden</w:t>
      </w:r>
      <w:r w:rsidR="00CA2CDE">
        <w:rPr>
          <w:lang w:val="nl-NL"/>
        </w:rPr>
        <w:t>-, wezen- en het tijdelijk partnerpensioen, waarbij voor de laatste pensioenvorm als voorwaarde geldt dat het dienstverband met de werkgever op of na 1 januari 2019 is beëindigd</w:t>
      </w:r>
      <w:r w:rsidRPr="00B62A4E">
        <w:rPr>
          <w:lang w:val="nl-NL"/>
        </w:rPr>
        <w:t>. De hoogte van de premievrijstelling is afhankelijk van de mate van arbeidsongeschiktheid. De premievrijstelling gaat voor cao-werknemers en bestuurders in op de dag dat de WIA-uitkering ingaat en eindigt uiterlijk op de pensioenrichtleeftijd. De premievrijstelling gaat voor PEC werknemers in als het bij Nationale-Nederlanden ondergebrachte WIA arbeidsongeschiktheidspensioen ingaat en eindigt uiterlijk op de pensioenrichtleeftijd. Voor deelnemers die bij aanvang van het deelnemerschap arbeidsongeschikt waren, wordt alleen de toename van de arbeidsongeschiktheid gedekt. Ook gewezen deelnemers die arbeidsongeschikt waren bij uitdiensttreding houden recht op premievrijstelling tot ten hoogste de mate van arbeidsongeschiktheid bij beëindiging van het deelnemerschap.</w:t>
      </w:r>
      <w:r w:rsidR="004E44F1">
        <w:rPr>
          <w:lang w:val="nl-NL"/>
        </w:rPr>
        <w:br/>
      </w:r>
      <w:r w:rsidR="004E44F1">
        <w:rPr>
          <w:lang w:val="nl-NL"/>
        </w:rPr>
        <w:br/>
      </w:r>
      <w:r w:rsidRPr="00B62A4E">
        <w:rPr>
          <w:lang w:val="nl-NL"/>
        </w:rPr>
        <w:t>C</w:t>
      </w:r>
      <w:r w:rsidR="00EE5A65">
        <w:rPr>
          <w:lang w:val="nl-NL"/>
        </w:rPr>
        <w:t>ao</w:t>
      </w:r>
      <w:r w:rsidRPr="00B62A4E">
        <w:rPr>
          <w:lang w:val="nl-NL"/>
        </w:rPr>
        <w:t>-werknemers per 1 januari 2014 die in de periode van 4 weken voorafgaand aan 1 december 2013 reeds arbeidsongeschikt waren en die hun werkzaamheden niet gedurende 4 weken volledig hebben hervat, hebben aanspraak op premievrijstelling bij arbeidsongeschiktheid indien zij worden ontslagen wegens arbeidsongeschiktheid. Als de mate van arbeidsongeschiktheid wijzigt, wordt de hoogte van de premievrijstelling bij arbeidsongeschiktheid aangepast tot maximaal de mate van arbeidsongeschiktheid bij het einde van het dienstverband.</w:t>
      </w:r>
    </w:p>
    <w:p w14:paraId="209E2298" w14:textId="7E0332A4" w:rsidR="00D00416" w:rsidRPr="00B62A4E" w:rsidRDefault="00D00416" w:rsidP="004E44F1">
      <w:pPr>
        <w:ind w:left="2268" w:hanging="2268"/>
        <w:rPr>
          <w:lang w:val="nl-NL"/>
        </w:rPr>
      </w:pPr>
      <w:r>
        <w:rPr>
          <w:lang w:val="nl-NL"/>
        </w:rPr>
        <w:t xml:space="preserve"> </w:t>
      </w:r>
    </w:p>
    <w:p w14:paraId="6DA1D6B7" w14:textId="77777777" w:rsidR="00B62A4E" w:rsidRPr="00B62A4E" w:rsidRDefault="00B62A4E" w:rsidP="004E44F1">
      <w:pPr>
        <w:ind w:left="2268" w:hanging="2268"/>
        <w:rPr>
          <w:lang w:val="nl-NL"/>
        </w:rPr>
      </w:pPr>
    </w:p>
    <w:p w14:paraId="74B71ED7" w14:textId="77777777" w:rsidR="00B62A4E" w:rsidRPr="00B62A4E" w:rsidRDefault="00B62A4E" w:rsidP="004E44F1">
      <w:pPr>
        <w:ind w:left="2268" w:hanging="2268"/>
        <w:rPr>
          <w:lang w:val="nl-NL"/>
        </w:rPr>
      </w:pPr>
      <w:r w:rsidRPr="00B62A4E">
        <w:rPr>
          <w:lang w:val="nl-NL"/>
        </w:rPr>
        <w:t>Toeslagen:</w:t>
      </w:r>
      <w:r w:rsidRPr="00B62A4E">
        <w:rPr>
          <w:lang w:val="nl-NL"/>
        </w:rPr>
        <w:tab/>
        <w:t>De toeslagverlening is voorwaardelijk. Er is geen vooraf bepaalde toeslagambitie. Hierop wordt nader ingegaan in paragraaf 9.2.2. van deze ABTN.</w:t>
      </w:r>
    </w:p>
    <w:p w14:paraId="302721C1" w14:textId="77777777" w:rsidR="004E44F1" w:rsidRDefault="004E44F1">
      <w:pPr>
        <w:spacing w:after="200" w:line="276" w:lineRule="auto"/>
        <w:rPr>
          <w:lang w:val="nl-NL"/>
        </w:rPr>
      </w:pPr>
      <w:r>
        <w:rPr>
          <w:lang w:val="nl-NL"/>
        </w:rPr>
        <w:br w:type="page"/>
      </w:r>
    </w:p>
    <w:p w14:paraId="6846C87F" w14:textId="77777777" w:rsidR="00B62A4E" w:rsidRPr="00B62A4E" w:rsidRDefault="00B62A4E" w:rsidP="004E44F1">
      <w:pPr>
        <w:pStyle w:val="Kop1"/>
        <w:rPr>
          <w:rFonts w:hint="eastAsia"/>
          <w:lang w:val="nl-NL"/>
        </w:rPr>
      </w:pPr>
      <w:bookmarkStart w:id="29" w:name="_Toc231804755"/>
      <w:r w:rsidRPr="00B62A4E">
        <w:rPr>
          <w:lang w:val="nl-NL"/>
        </w:rPr>
        <w:lastRenderedPageBreak/>
        <w:t>Eigen beheer en herverzekering</w:t>
      </w:r>
      <w:bookmarkEnd w:id="29"/>
    </w:p>
    <w:p w14:paraId="7E8692BD" w14:textId="77777777" w:rsidR="00B62A4E" w:rsidRPr="00B62A4E" w:rsidRDefault="00B62A4E" w:rsidP="00B62A4E">
      <w:pPr>
        <w:rPr>
          <w:lang w:val="nl-NL"/>
        </w:rPr>
      </w:pPr>
    </w:p>
    <w:p w14:paraId="0BB85E5D" w14:textId="1E56B759" w:rsidR="00E40C4C" w:rsidRDefault="00B62A4E" w:rsidP="00B62A4E">
      <w:pPr>
        <w:rPr>
          <w:lang w:val="nl-NL"/>
        </w:rPr>
      </w:pPr>
      <w:r w:rsidRPr="00B62A4E">
        <w:rPr>
          <w:lang w:val="nl-NL"/>
        </w:rPr>
        <w:t xml:space="preserve">Ten aanzien van het overlijdensrisico en arbeidsongeschiktheidsrisico is met </w:t>
      </w:r>
      <w:r w:rsidR="007F2B9F">
        <w:rPr>
          <w:lang w:val="nl-NL"/>
        </w:rPr>
        <w:t>NN Re</w:t>
      </w:r>
      <w:r w:rsidRPr="00B62A4E">
        <w:rPr>
          <w:lang w:val="nl-NL"/>
        </w:rPr>
        <w:t xml:space="preserve"> een risicoherverzekeringscontract op basis </w:t>
      </w:r>
      <w:r w:rsidR="00C17DD7">
        <w:rPr>
          <w:lang w:val="nl-NL"/>
        </w:rPr>
        <w:t xml:space="preserve">van </w:t>
      </w:r>
      <w:r w:rsidR="007F2B9F">
        <w:rPr>
          <w:lang w:val="nl-NL"/>
        </w:rPr>
        <w:t>volledige herverzekering</w:t>
      </w:r>
      <w:r w:rsidR="00C17DD7">
        <w:rPr>
          <w:lang w:val="nl-NL"/>
        </w:rPr>
        <w:t xml:space="preserve"> </w:t>
      </w:r>
      <w:r w:rsidRPr="00B62A4E">
        <w:rPr>
          <w:lang w:val="nl-NL"/>
        </w:rPr>
        <w:t xml:space="preserve">afgesloten. </w:t>
      </w:r>
      <w:r w:rsidR="007F2B9F">
        <w:rPr>
          <w:lang w:val="nl-NL"/>
        </w:rPr>
        <w:t xml:space="preserve">Deze herverzekering vergoedt gedurende de looptijd van de verzekering alle schades in het kader van overlijden (nabestaandenpensioen) en arbeidsongeschiktheid. </w:t>
      </w:r>
      <w:r w:rsidRPr="00B62A4E">
        <w:rPr>
          <w:lang w:val="nl-NL"/>
        </w:rPr>
        <w:t>De overige uit de aangegane verplichtingen voortvloeiende risico's zijn volledig in eigen beheer gehouden.</w:t>
      </w:r>
    </w:p>
    <w:p w14:paraId="4ADC1598" w14:textId="78354C78" w:rsidR="00F43E1F" w:rsidRDefault="00F43E1F" w:rsidP="00B62A4E">
      <w:pPr>
        <w:rPr>
          <w:lang w:val="nl-NL"/>
        </w:rPr>
      </w:pPr>
    </w:p>
    <w:p w14:paraId="3B08D972" w14:textId="77777777" w:rsidR="004E44F1" w:rsidRDefault="004E44F1" w:rsidP="00B62A4E">
      <w:pPr>
        <w:rPr>
          <w:lang w:val="nl-NL"/>
        </w:rPr>
      </w:pPr>
    </w:p>
    <w:p w14:paraId="5D8AC513" w14:textId="77777777" w:rsidR="004E44F1" w:rsidRDefault="004E44F1">
      <w:pPr>
        <w:spacing w:after="200" w:line="276" w:lineRule="auto"/>
        <w:rPr>
          <w:lang w:val="nl-NL"/>
        </w:rPr>
      </w:pPr>
      <w:r>
        <w:rPr>
          <w:lang w:val="nl-NL"/>
        </w:rPr>
        <w:br w:type="page"/>
      </w:r>
    </w:p>
    <w:p w14:paraId="2FB761DD" w14:textId="77777777" w:rsidR="004E44F1" w:rsidRPr="004E44F1" w:rsidRDefault="004E44F1" w:rsidP="004E44F1">
      <w:pPr>
        <w:pStyle w:val="Kop1"/>
        <w:rPr>
          <w:rFonts w:hint="eastAsia"/>
          <w:lang w:val="nl-NL"/>
        </w:rPr>
      </w:pPr>
      <w:bookmarkStart w:id="30" w:name="_Toc231804756"/>
      <w:r w:rsidRPr="004E44F1">
        <w:rPr>
          <w:lang w:val="nl-NL"/>
        </w:rPr>
        <w:lastRenderedPageBreak/>
        <w:t>Waarderingsgrondslagen van de balans</w:t>
      </w:r>
      <w:bookmarkEnd w:id="30"/>
    </w:p>
    <w:p w14:paraId="29322DB5" w14:textId="77777777" w:rsidR="004E44F1" w:rsidRPr="004E44F1" w:rsidRDefault="004E44F1" w:rsidP="004E44F1">
      <w:pPr>
        <w:pStyle w:val="Kop2"/>
        <w:rPr>
          <w:rFonts w:hint="eastAsia"/>
          <w:lang w:val="nl-NL"/>
        </w:rPr>
      </w:pPr>
      <w:bookmarkStart w:id="31" w:name="_Toc231804757"/>
      <w:r w:rsidRPr="004E44F1">
        <w:rPr>
          <w:lang w:val="nl-NL"/>
        </w:rPr>
        <w:t>Technische voorziening</w:t>
      </w:r>
      <w:bookmarkEnd w:id="31"/>
    </w:p>
    <w:p w14:paraId="05104B1B" w14:textId="77777777" w:rsidR="004E44F1" w:rsidRDefault="004E44F1" w:rsidP="004E44F1">
      <w:pPr>
        <w:rPr>
          <w:lang w:val="nl-NL"/>
        </w:rPr>
      </w:pPr>
    </w:p>
    <w:p w14:paraId="5D1DEFD2" w14:textId="77777777" w:rsidR="004E44F1" w:rsidRPr="004E44F1" w:rsidRDefault="004E44F1" w:rsidP="004E44F1">
      <w:pPr>
        <w:rPr>
          <w:lang w:val="nl-NL"/>
        </w:rPr>
      </w:pPr>
      <w:r w:rsidRPr="004E44F1">
        <w:rPr>
          <w:lang w:val="nl-NL"/>
        </w:rPr>
        <w:t>De technische voorziening van het fonds bestaat uit de voorziening pensioenverplichtingen.</w:t>
      </w:r>
    </w:p>
    <w:p w14:paraId="60864126" w14:textId="77777777" w:rsidR="004E44F1" w:rsidRPr="004E44F1" w:rsidRDefault="004E44F1" w:rsidP="004E44F1">
      <w:pPr>
        <w:rPr>
          <w:lang w:val="nl-NL"/>
        </w:rPr>
      </w:pPr>
    </w:p>
    <w:p w14:paraId="197E444C" w14:textId="77777777" w:rsidR="004E44F1" w:rsidRPr="004E44F1" w:rsidRDefault="004E44F1" w:rsidP="004E44F1">
      <w:pPr>
        <w:rPr>
          <w:i/>
          <w:lang w:val="nl-NL"/>
        </w:rPr>
      </w:pPr>
      <w:r w:rsidRPr="004E44F1">
        <w:rPr>
          <w:i/>
          <w:lang w:val="nl-NL"/>
        </w:rPr>
        <w:t>Voorziening pensioenverplichtingen</w:t>
      </w:r>
    </w:p>
    <w:p w14:paraId="1C0EC3E5" w14:textId="7FC482C8" w:rsidR="004E44F1" w:rsidRDefault="004E44F1" w:rsidP="004E44F1">
      <w:pPr>
        <w:rPr>
          <w:lang w:val="nl-NL"/>
        </w:rPr>
      </w:pPr>
      <w:r w:rsidRPr="004E44F1">
        <w:rPr>
          <w:lang w:val="nl-NL"/>
        </w:rPr>
        <w:t xml:space="preserve">De voorziening pensioenverplichtingen dient ter dekking van de pensioenverplichtingen van </w:t>
      </w:r>
      <w:r w:rsidR="004A7887">
        <w:rPr>
          <w:lang w:val="nl-NL"/>
        </w:rPr>
        <w:t>ons</w:t>
      </w:r>
      <w:r w:rsidR="004A7887" w:rsidRPr="004E44F1">
        <w:rPr>
          <w:lang w:val="nl-NL"/>
        </w:rPr>
        <w:t xml:space="preserve"> </w:t>
      </w:r>
      <w:r w:rsidRPr="004E44F1">
        <w:rPr>
          <w:lang w:val="nl-NL"/>
        </w:rPr>
        <w:t>fonds en wordt post voor post vastgesteld met inachtneming van de actuariële grondslagen en veronderstellingen zoals hierna omschreven. De voorziening pensioenverplichtingen wordt gebaseerd op de tot en met de balansdatum opgebouwde aanspraken op pensioen en omvat mede de voorziening administratiekosten, de voorziening arbeidsongeschiktheidsrisico, de voorziening inlooprisico arbeidsongeschiktheid en de voorziening uitlooprisico arbeidsongeschiktheid.</w:t>
      </w:r>
    </w:p>
    <w:p w14:paraId="7D7DE913" w14:textId="77777777" w:rsidR="004E44F1" w:rsidRPr="004E44F1" w:rsidRDefault="004E44F1" w:rsidP="004E44F1">
      <w:pPr>
        <w:rPr>
          <w:lang w:val="nl-NL"/>
        </w:rPr>
      </w:pPr>
    </w:p>
    <w:p w14:paraId="1FA44FA4" w14:textId="7778DB0F" w:rsidR="004E44F1" w:rsidRPr="004E44F1" w:rsidRDefault="004E44F1" w:rsidP="004E44F1">
      <w:pPr>
        <w:rPr>
          <w:lang w:val="nl-NL"/>
        </w:rPr>
      </w:pPr>
      <w:r w:rsidRPr="004E44F1">
        <w:rPr>
          <w:lang w:val="nl-NL"/>
        </w:rPr>
        <w:t>De voorziening pensioenverplichtingen wordt vastgesteld conform de grondslagen in bijlage 1 (actuariële grondslagen) inclusief de eventuele rechten uit hoofde van herverzekering. De voorziening pensioenverplichtingen voor dit herverzekerde deel van de pensioenaanspraken wordt op dezelfde grondslagen vastgesteld.</w:t>
      </w:r>
    </w:p>
    <w:p w14:paraId="198DFAFE" w14:textId="77777777" w:rsidR="004E44F1" w:rsidRPr="004E44F1" w:rsidRDefault="004E44F1" w:rsidP="004E44F1">
      <w:pPr>
        <w:rPr>
          <w:lang w:val="nl-NL"/>
        </w:rPr>
      </w:pPr>
      <w:r w:rsidRPr="004E44F1">
        <w:rPr>
          <w:lang w:val="nl-NL"/>
        </w:rPr>
        <w:t>Aanpassing van de grondslagen vindt plaats bij besluit van het bestuur als gevolg van bijvoorbeeld nieuwe overlevingstafels en/of ontwikkelingen bij het fonds die daartoe aanleiding geven.</w:t>
      </w:r>
    </w:p>
    <w:p w14:paraId="76E2A1F6" w14:textId="77777777" w:rsidR="00712074" w:rsidRDefault="00712074" w:rsidP="004E44F1">
      <w:pPr>
        <w:rPr>
          <w:lang w:val="nl-NL"/>
        </w:rPr>
      </w:pPr>
    </w:p>
    <w:p w14:paraId="6F6C4357" w14:textId="01F5B407" w:rsidR="00670829" w:rsidRDefault="004E44F1" w:rsidP="004E44F1">
      <w:pPr>
        <w:rPr>
          <w:lang w:val="nl-NL"/>
        </w:rPr>
      </w:pPr>
      <w:r w:rsidRPr="004E44F1">
        <w:rPr>
          <w:lang w:val="nl-NL"/>
        </w:rPr>
        <w:t>Een specificatie van alle actuariële grondslagen en veronderstellingen is opgenomen in bijlage 1.</w:t>
      </w:r>
    </w:p>
    <w:p w14:paraId="34721959" w14:textId="1AA94789" w:rsidR="004E44F1" w:rsidRPr="004E44F1" w:rsidRDefault="004E44F1" w:rsidP="007A0343">
      <w:pPr>
        <w:pStyle w:val="Kop2"/>
        <w:rPr>
          <w:rFonts w:hint="eastAsia"/>
          <w:lang w:val="nl-NL"/>
        </w:rPr>
      </w:pPr>
      <w:bookmarkStart w:id="32" w:name="_Toc231804758"/>
      <w:r w:rsidRPr="004E44F1">
        <w:rPr>
          <w:lang w:val="nl-NL"/>
        </w:rPr>
        <w:t>Beleggingen</w:t>
      </w:r>
      <w:bookmarkEnd w:id="32"/>
    </w:p>
    <w:p w14:paraId="18433B5C" w14:textId="77777777" w:rsidR="007A0343" w:rsidRDefault="007A0343" w:rsidP="004E44F1">
      <w:pPr>
        <w:rPr>
          <w:lang w:val="nl-NL"/>
        </w:rPr>
      </w:pPr>
    </w:p>
    <w:p w14:paraId="77464647" w14:textId="2E58F60A" w:rsidR="004E44F1" w:rsidRPr="004E44F1" w:rsidRDefault="004E44F1" w:rsidP="00432DF6">
      <w:pPr>
        <w:spacing w:after="200" w:line="276" w:lineRule="auto"/>
        <w:rPr>
          <w:lang w:val="nl-NL"/>
        </w:rPr>
      </w:pPr>
      <w:r w:rsidRPr="004E44F1">
        <w:rPr>
          <w:lang w:val="nl-NL"/>
        </w:rPr>
        <w:t xml:space="preserve">De beleggingen van </w:t>
      </w:r>
      <w:r w:rsidR="004A7887">
        <w:rPr>
          <w:lang w:val="nl-NL"/>
        </w:rPr>
        <w:t>ons</w:t>
      </w:r>
      <w:r w:rsidR="004A7887" w:rsidRPr="004E44F1">
        <w:rPr>
          <w:lang w:val="nl-NL"/>
        </w:rPr>
        <w:t xml:space="preserve"> </w:t>
      </w:r>
      <w:r w:rsidRPr="004E44F1">
        <w:rPr>
          <w:lang w:val="nl-NL"/>
        </w:rPr>
        <w:t xml:space="preserve">fonds worden gewaardeerd op reële </w:t>
      </w:r>
      <w:r w:rsidR="004A0987">
        <w:rPr>
          <w:lang w:val="nl-NL"/>
        </w:rPr>
        <w:t>(markt)</w:t>
      </w:r>
      <w:r w:rsidRPr="004E44F1">
        <w:rPr>
          <w:lang w:val="nl-NL"/>
        </w:rPr>
        <w:t>waarde. Slechts indien de reële waarde van een belegging niet betrouwbaar kan worden vastgesteld, vindt waardering plaats op basis van (geamortiseerde) kostprijs. Participaties in beleggingspools en –instellingen die gespecialiseerd zijn in een bepaald soort beleggingen worden gerubriceerd en gewaardeerd volgens de grondslagen voor die onderliggende beleggingen (doorkijkbeginse</w:t>
      </w:r>
      <w:r w:rsidR="004A0987">
        <w:rPr>
          <w:lang w:val="nl-NL"/>
        </w:rPr>
        <w:t>l).</w:t>
      </w:r>
      <w:r w:rsidR="008A0EF5">
        <w:rPr>
          <w:lang w:val="nl-NL"/>
        </w:rPr>
        <w:t xml:space="preserve"> </w:t>
      </w:r>
      <w:r w:rsidRPr="004E44F1">
        <w:rPr>
          <w:lang w:val="nl-NL"/>
        </w:rPr>
        <w:t>Het fonds kent de volgende waarderingsgrondslagen:</w:t>
      </w:r>
    </w:p>
    <w:p w14:paraId="5E0311FE" w14:textId="77777777" w:rsidR="004E44F1" w:rsidRPr="007A0343" w:rsidRDefault="007A0343" w:rsidP="001E699B">
      <w:pPr>
        <w:pStyle w:val="Lijstalinea"/>
        <w:numPr>
          <w:ilvl w:val="0"/>
          <w:numId w:val="20"/>
        </w:numPr>
        <w:rPr>
          <w:lang w:val="nl-NL"/>
        </w:rPr>
      </w:pPr>
      <w:r>
        <w:rPr>
          <w:lang w:val="nl-NL"/>
        </w:rPr>
        <w:t>V</w:t>
      </w:r>
      <w:r w:rsidR="004E44F1" w:rsidRPr="007A0343">
        <w:rPr>
          <w:lang w:val="nl-NL"/>
        </w:rPr>
        <w:t>astrentende waarden zijn gewaardeerd op de per balansdatum geldende beurskoers.</w:t>
      </w:r>
    </w:p>
    <w:p w14:paraId="36D63562" w14:textId="77777777" w:rsidR="004E44F1" w:rsidRPr="007A0343" w:rsidRDefault="007A0343" w:rsidP="001E699B">
      <w:pPr>
        <w:pStyle w:val="Lijstalinea"/>
        <w:numPr>
          <w:ilvl w:val="0"/>
          <w:numId w:val="20"/>
        </w:numPr>
        <w:rPr>
          <w:lang w:val="nl-NL"/>
        </w:rPr>
      </w:pPr>
      <w:r>
        <w:rPr>
          <w:lang w:val="nl-NL"/>
        </w:rPr>
        <w:t>L</w:t>
      </w:r>
      <w:r w:rsidR="004E44F1" w:rsidRPr="007A0343">
        <w:rPr>
          <w:lang w:val="nl-NL"/>
        </w:rPr>
        <w:t>eningen worden gewaardeerd door de te ontvangen kasstromen contant te maken op basis van geldende marktrente, waarin opgenomen een opslag voor debiteurenrisico en liquiditeitsrisico.</w:t>
      </w:r>
    </w:p>
    <w:p w14:paraId="52CAD0F5" w14:textId="466414D4" w:rsidR="007A0343" w:rsidRPr="007A0343" w:rsidRDefault="007A0343" w:rsidP="001E699B">
      <w:pPr>
        <w:pStyle w:val="Lijstalinea"/>
        <w:numPr>
          <w:ilvl w:val="0"/>
          <w:numId w:val="20"/>
        </w:numPr>
        <w:spacing w:after="200" w:line="276" w:lineRule="auto"/>
        <w:rPr>
          <w:lang w:val="nl-NL"/>
        </w:rPr>
      </w:pPr>
      <w:r w:rsidRPr="007A0343">
        <w:rPr>
          <w:lang w:val="nl-NL"/>
        </w:rPr>
        <w:t>D</w:t>
      </w:r>
      <w:r w:rsidR="004E44F1" w:rsidRPr="007A0343">
        <w:rPr>
          <w:lang w:val="nl-NL"/>
        </w:rPr>
        <w:t>eposito’s en vorderingen op banken worden gewaardeerd op nominale waarde</w:t>
      </w:r>
    </w:p>
    <w:p w14:paraId="49BF3779" w14:textId="77777777" w:rsidR="004E44F1" w:rsidRPr="007A0343" w:rsidRDefault="007A0343" w:rsidP="001E699B">
      <w:pPr>
        <w:pStyle w:val="Lijstalinea"/>
        <w:numPr>
          <w:ilvl w:val="0"/>
          <w:numId w:val="20"/>
        </w:numPr>
        <w:rPr>
          <w:lang w:val="nl-NL"/>
        </w:rPr>
      </w:pPr>
      <w:r>
        <w:rPr>
          <w:lang w:val="nl-NL"/>
        </w:rPr>
        <w:t>D</w:t>
      </w:r>
      <w:r w:rsidR="004E44F1" w:rsidRPr="007A0343">
        <w:rPr>
          <w:lang w:val="nl-NL"/>
        </w:rPr>
        <w:t>erivaten worden gewaardeerd op d</w:t>
      </w:r>
      <w:r>
        <w:rPr>
          <w:lang w:val="nl-NL"/>
        </w:rPr>
        <w:t>e marktwaarde van het contract:</w:t>
      </w:r>
    </w:p>
    <w:p w14:paraId="47BFE916" w14:textId="77777777" w:rsidR="004E44F1" w:rsidRPr="007A0343" w:rsidRDefault="00845DF3" w:rsidP="001E699B">
      <w:pPr>
        <w:pStyle w:val="Lijstalinea"/>
        <w:numPr>
          <w:ilvl w:val="0"/>
          <w:numId w:val="15"/>
        </w:numPr>
        <w:ind w:left="993" w:hanging="265"/>
        <w:rPr>
          <w:lang w:val="nl-NL"/>
        </w:rPr>
      </w:pPr>
      <w:r>
        <w:rPr>
          <w:lang w:val="nl-NL"/>
        </w:rPr>
        <w:t>V</w:t>
      </w:r>
      <w:r w:rsidR="004E44F1" w:rsidRPr="007A0343">
        <w:rPr>
          <w:lang w:val="nl-NL"/>
        </w:rPr>
        <w:t>oor beursgenoteerde contracten is dit</w:t>
      </w:r>
      <w:r w:rsidR="007A0343">
        <w:rPr>
          <w:lang w:val="nl-NL"/>
        </w:rPr>
        <w:t xml:space="preserve"> de beurskoers per balansdatum</w:t>
      </w:r>
      <w:r>
        <w:rPr>
          <w:lang w:val="nl-NL"/>
        </w:rPr>
        <w:t>.</w:t>
      </w:r>
    </w:p>
    <w:p w14:paraId="285DB973" w14:textId="77777777" w:rsidR="004E44F1" w:rsidRPr="007A0343" w:rsidRDefault="00845DF3" w:rsidP="001E699B">
      <w:pPr>
        <w:pStyle w:val="Lijstalinea"/>
        <w:numPr>
          <w:ilvl w:val="0"/>
          <w:numId w:val="15"/>
        </w:numPr>
        <w:ind w:left="993" w:hanging="265"/>
        <w:rPr>
          <w:lang w:val="nl-NL"/>
        </w:rPr>
      </w:pPr>
      <w:r>
        <w:rPr>
          <w:lang w:val="nl-NL"/>
        </w:rPr>
        <w:t>V</w:t>
      </w:r>
      <w:r w:rsidR="004E44F1" w:rsidRPr="007A0343">
        <w:rPr>
          <w:lang w:val="nl-NL"/>
        </w:rPr>
        <w:t>oor niet-beursgenoteerde contracten is de waardering gebaseerd op beschikbare marktinformatie als input voor gehanteerde waarderingsmodellen.</w:t>
      </w:r>
    </w:p>
    <w:p w14:paraId="2EA03D0E" w14:textId="77777777" w:rsidR="004E44F1" w:rsidRPr="007A0343" w:rsidRDefault="007A0343" w:rsidP="001E699B">
      <w:pPr>
        <w:pStyle w:val="Lijstalinea"/>
        <w:numPr>
          <w:ilvl w:val="0"/>
          <w:numId w:val="20"/>
        </w:numPr>
        <w:rPr>
          <w:lang w:val="nl-NL"/>
        </w:rPr>
      </w:pPr>
      <w:r>
        <w:rPr>
          <w:lang w:val="nl-NL"/>
        </w:rPr>
        <w:t>V</w:t>
      </w:r>
      <w:r w:rsidR="004E44F1" w:rsidRPr="007A0343">
        <w:rPr>
          <w:lang w:val="nl-NL"/>
        </w:rPr>
        <w:t>oor aandelen is de reële waarde de beursnotering per balansdatum.</w:t>
      </w:r>
    </w:p>
    <w:p w14:paraId="5453187A" w14:textId="77777777" w:rsidR="004E44F1" w:rsidRPr="007A0343" w:rsidRDefault="007A0343" w:rsidP="001E699B">
      <w:pPr>
        <w:pStyle w:val="Lijstalinea"/>
        <w:numPr>
          <w:ilvl w:val="0"/>
          <w:numId w:val="20"/>
        </w:numPr>
        <w:rPr>
          <w:lang w:val="nl-NL"/>
        </w:rPr>
      </w:pPr>
      <w:r>
        <w:rPr>
          <w:lang w:val="nl-NL"/>
        </w:rPr>
        <w:t>V</w:t>
      </w:r>
      <w:r w:rsidR="004E44F1" w:rsidRPr="007A0343">
        <w:rPr>
          <w:lang w:val="nl-NL"/>
        </w:rPr>
        <w:t xml:space="preserve">oor </w:t>
      </w:r>
      <w:r w:rsidR="00F465EB">
        <w:rPr>
          <w:lang w:val="nl-NL"/>
        </w:rPr>
        <w:t xml:space="preserve">(niet-beursgenoteerde) </w:t>
      </w:r>
      <w:r w:rsidR="004E44F1" w:rsidRPr="007A0343">
        <w:rPr>
          <w:lang w:val="nl-NL"/>
        </w:rPr>
        <w:t>vastgoedbeleggingen wordt de reële waarde gebaseerd op de taxatiewaarde.</w:t>
      </w:r>
      <w:r>
        <w:rPr>
          <w:lang w:val="nl-NL"/>
        </w:rPr>
        <w:br/>
      </w:r>
    </w:p>
    <w:p w14:paraId="12DEEAB9" w14:textId="77777777" w:rsidR="004E44F1" w:rsidRPr="004E44F1" w:rsidRDefault="004E44F1" w:rsidP="007A0343">
      <w:pPr>
        <w:pStyle w:val="Kop2"/>
        <w:rPr>
          <w:rFonts w:hint="eastAsia"/>
          <w:lang w:val="nl-NL"/>
        </w:rPr>
      </w:pPr>
      <w:bookmarkStart w:id="33" w:name="_Toc231804759"/>
      <w:r w:rsidRPr="004E44F1">
        <w:rPr>
          <w:lang w:val="nl-NL"/>
        </w:rPr>
        <w:t>Reserves</w:t>
      </w:r>
      <w:bookmarkEnd w:id="33"/>
    </w:p>
    <w:p w14:paraId="0CDF6BFD" w14:textId="77777777" w:rsidR="004E44F1" w:rsidRPr="004E44F1" w:rsidRDefault="004E44F1" w:rsidP="004E44F1">
      <w:pPr>
        <w:rPr>
          <w:lang w:val="nl-NL"/>
        </w:rPr>
      </w:pPr>
    </w:p>
    <w:p w14:paraId="723E85E6" w14:textId="25E3B7A0" w:rsidR="004E44F1" w:rsidRDefault="004E44F1" w:rsidP="004E44F1">
      <w:pPr>
        <w:rPr>
          <w:lang w:val="nl-NL"/>
        </w:rPr>
      </w:pPr>
      <w:r w:rsidRPr="004E44F1">
        <w:rPr>
          <w:lang w:val="nl-NL"/>
        </w:rPr>
        <w:t xml:space="preserve">Jaarlijks wordt het resultaat van </w:t>
      </w:r>
      <w:r w:rsidR="001B7C04">
        <w:rPr>
          <w:lang w:val="nl-NL"/>
        </w:rPr>
        <w:t>ons</w:t>
      </w:r>
      <w:r w:rsidR="001B7C04" w:rsidRPr="004E44F1">
        <w:rPr>
          <w:lang w:val="nl-NL"/>
        </w:rPr>
        <w:t xml:space="preserve"> </w:t>
      </w:r>
      <w:r w:rsidRPr="004E44F1">
        <w:rPr>
          <w:lang w:val="nl-NL"/>
        </w:rPr>
        <w:t>fonds ten gunste dan wel ten laste van de algemene reserve gebracht.</w:t>
      </w:r>
    </w:p>
    <w:p w14:paraId="63A3C336" w14:textId="77777777" w:rsidR="007A0343" w:rsidRPr="004E44F1" w:rsidRDefault="007A0343" w:rsidP="004E44F1">
      <w:pPr>
        <w:rPr>
          <w:lang w:val="nl-NL"/>
        </w:rPr>
      </w:pPr>
    </w:p>
    <w:p w14:paraId="25104963" w14:textId="77777777" w:rsidR="004E44F1" w:rsidRPr="004E44F1" w:rsidRDefault="004E44F1" w:rsidP="007A0343">
      <w:pPr>
        <w:pStyle w:val="Kop1"/>
        <w:rPr>
          <w:rFonts w:hint="eastAsia"/>
          <w:lang w:val="nl-NL"/>
        </w:rPr>
      </w:pPr>
      <w:bookmarkStart w:id="34" w:name="_Toc231804760"/>
      <w:r w:rsidRPr="004E44F1">
        <w:rPr>
          <w:lang w:val="nl-NL"/>
        </w:rPr>
        <w:lastRenderedPageBreak/>
        <w:t>Premiebeleid</w:t>
      </w:r>
      <w:bookmarkEnd w:id="34"/>
    </w:p>
    <w:p w14:paraId="7CDC1781" w14:textId="77777777" w:rsidR="004E44F1" w:rsidRPr="004E44F1" w:rsidRDefault="004E44F1" w:rsidP="004E44F1">
      <w:pPr>
        <w:rPr>
          <w:lang w:val="nl-NL"/>
        </w:rPr>
      </w:pPr>
    </w:p>
    <w:p w14:paraId="227EA714" w14:textId="50E7C3A9" w:rsidR="004E44F1" w:rsidRPr="004E44F1" w:rsidRDefault="004E44F1" w:rsidP="004E44F1">
      <w:pPr>
        <w:rPr>
          <w:lang w:val="nl-NL"/>
        </w:rPr>
      </w:pPr>
      <w:r w:rsidRPr="004E44F1">
        <w:rPr>
          <w:lang w:val="nl-NL"/>
        </w:rPr>
        <w:t xml:space="preserve">Gegeven het CDC-karakter van </w:t>
      </w:r>
      <w:r w:rsidR="001B7C04">
        <w:rPr>
          <w:lang w:val="nl-NL"/>
        </w:rPr>
        <w:t>ons fonds</w:t>
      </w:r>
      <w:r w:rsidRPr="004E44F1">
        <w:rPr>
          <w:lang w:val="nl-NL"/>
        </w:rPr>
        <w:t xml:space="preserve"> is het premiebeleid geen sturingsmiddel. De werkgever stort geen extra premie bij als de beleidsdekkingsgraad van </w:t>
      </w:r>
      <w:r w:rsidR="001B7C04">
        <w:rPr>
          <w:lang w:val="nl-NL"/>
        </w:rPr>
        <w:t xml:space="preserve">ons </w:t>
      </w:r>
      <w:r w:rsidR="001B2EC0">
        <w:rPr>
          <w:lang w:val="nl-NL"/>
        </w:rPr>
        <w:t>fonds</w:t>
      </w:r>
      <w:r w:rsidRPr="004E44F1">
        <w:rPr>
          <w:lang w:val="nl-NL"/>
        </w:rPr>
        <w:t xml:space="preserve"> onder de (minimaal) vereiste dekkingsgraad belandt. De beleidsdekkingsgraad is gelijk aan het gemiddelde van de dekkingsgraden van de 12 maanden voorafgaand aan het moment van vaststelling. </w:t>
      </w:r>
    </w:p>
    <w:p w14:paraId="6FDC5D70" w14:textId="77777777" w:rsidR="004E44F1" w:rsidRPr="004E44F1" w:rsidRDefault="004E44F1" w:rsidP="004E44F1">
      <w:pPr>
        <w:rPr>
          <w:lang w:val="nl-NL"/>
        </w:rPr>
      </w:pPr>
    </w:p>
    <w:p w14:paraId="73F99436" w14:textId="6649F95E" w:rsidR="004E44F1" w:rsidRPr="004E44F1" w:rsidRDefault="004E44F1" w:rsidP="004E44F1">
      <w:pPr>
        <w:rPr>
          <w:lang w:val="nl-NL"/>
        </w:rPr>
      </w:pPr>
      <w:r w:rsidRPr="004E44F1">
        <w:rPr>
          <w:lang w:val="nl-NL"/>
        </w:rPr>
        <w:t xml:space="preserve">De werkgever heeft geen recht op premierestituties of premiekorting en deelt nooit mee in de reserves van </w:t>
      </w:r>
      <w:r w:rsidR="001B7C04">
        <w:rPr>
          <w:lang w:val="nl-NL"/>
        </w:rPr>
        <w:t>ons</w:t>
      </w:r>
      <w:r w:rsidR="001B7C04" w:rsidRPr="004E44F1">
        <w:rPr>
          <w:lang w:val="nl-NL"/>
        </w:rPr>
        <w:t xml:space="preserve"> </w:t>
      </w:r>
      <w:r w:rsidRPr="004E44F1">
        <w:rPr>
          <w:lang w:val="nl-NL"/>
        </w:rPr>
        <w:t>fonds.</w:t>
      </w:r>
    </w:p>
    <w:p w14:paraId="48B7C5A4" w14:textId="77777777" w:rsidR="004E44F1" w:rsidRPr="004E44F1" w:rsidRDefault="004E44F1" w:rsidP="004E44F1">
      <w:pPr>
        <w:rPr>
          <w:lang w:val="nl-NL"/>
        </w:rPr>
      </w:pPr>
    </w:p>
    <w:p w14:paraId="4D25FF51" w14:textId="77777777" w:rsidR="004E44F1" w:rsidRPr="004E44F1" w:rsidRDefault="004E44F1" w:rsidP="007A0343">
      <w:pPr>
        <w:pStyle w:val="Kop2"/>
        <w:rPr>
          <w:rFonts w:hint="eastAsia"/>
          <w:lang w:val="nl-NL"/>
        </w:rPr>
      </w:pPr>
      <w:bookmarkStart w:id="35" w:name="_Toc231804761"/>
      <w:r w:rsidRPr="004E44F1">
        <w:rPr>
          <w:lang w:val="nl-NL"/>
        </w:rPr>
        <w:t>Feitelijke premie</w:t>
      </w:r>
      <w:bookmarkEnd w:id="35"/>
    </w:p>
    <w:p w14:paraId="45C09EFE" w14:textId="77777777" w:rsidR="004E44F1" w:rsidRPr="004E44F1" w:rsidRDefault="004E44F1" w:rsidP="004E44F1">
      <w:pPr>
        <w:rPr>
          <w:lang w:val="nl-NL"/>
        </w:rPr>
      </w:pPr>
    </w:p>
    <w:p w14:paraId="09A04494" w14:textId="1A3E3085" w:rsidR="00315628" w:rsidRDefault="00CD17E2" w:rsidP="007A0343">
      <w:pPr>
        <w:rPr>
          <w:lang w:val="nl-NL"/>
        </w:rPr>
      </w:pPr>
      <w:r>
        <w:rPr>
          <w:lang w:val="nl-NL"/>
        </w:rPr>
        <w:t xml:space="preserve">De feitelijke </w:t>
      </w:r>
      <w:r w:rsidR="00315628">
        <w:rPr>
          <w:lang w:val="nl-NL"/>
        </w:rPr>
        <w:t>premie bedraagt 30,5% van de totale pensioengrondslag. Daarboven betaalt de werkgever een actuari</w:t>
      </w:r>
      <w:r w:rsidR="00315628">
        <w:rPr>
          <w:rFonts w:ascii="Arial" w:hAnsi="Arial" w:cs="Arial"/>
          <w:lang w:val="nl-NL"/>
        </w:rPr>
        <w:t>ë</w:t>
      </w:r>
      <w:r w:rsidR="00315628">
        <w:rPr>
          <w:lang w:val="nl-NL"/>
        </w:rPr>
        <w:t>le premie voor het tijdelijk partnerpensioen en een bijdrage voor de uitvoeringskosten.</w:t>
      </w:r>
    </w:p>
    <w:p w14:paraId="64738E1F" w14:textId="77777777" w:rsidR="00AC0B8F" w:rsidRDefault="00AC0B8F" w:rsidP="007A0343">
      <w:pPr>
        <w:rPr>
          <w:lang w:val="nl-NL"/>
        </w:rPr>
      </w:pPr>
    </w:p>
    <w:p w14:paraId="4020297B" w14:textId="77777777" w:rsidR="00AC0B8F" w:rsidRPr="00432DF6" w:rsidRDefault="00AC0B8F" w:rsidP="00AC0B8F">
      <w:pPr>
        <w:rPr>
          <w:lang w:val="nl-NL"/>
        </w:rPr>
      </w:pPr>
      <w:r w:rsidRPr="00432DF6">
        <w:rPr>
          <w:lang w:val="nl-NL"/>
        </w:rPr>
        <w:t>De premie voor het tijdelijk nabestaandenpensioen van het komende boekjaar wordt elk jaar bepaald op basis van:</w:t>
      </w:r>
    </w:p>
    <w:p w14:paraId="2CE434F1" w14:textId="77777777" w:rsidR="00AC0B8F" w:rsidRPr="00432DF6" w:rsidRDefault="00AC0B8F" w:rsidP="001E699B">
      <w:pPr>
        <w:pStyle w:val="Lijstalinea"/>
        <w:numPr>
          <w:ilvl w:val="0"/>
          <w:numId w:val="44"/>
        </w:numPr>
        <w:rPr>
          <w:lang w:val="nl-NL"/>
        </w:rPr>
      </w:pPr>
      <w:r w:rsidRPr="00432DF6">
        <w:rPr>
          <w:lang w:val="nl-NL"/>
        </w:rPr>
        <w:t>Het bestand per 30 september van het lopende boekjaar</w:t>
      </w:r>
    </w:p>
    <w:p w14:paraId="49CFD28C" w14:textId="77777777" w:rsidR="00AC0B8F" w:rsidRPr="00432DF6" w:rsidRDefault="00AC0B8F" w:rsidP="001E699B">
      <w:pPr>
        <w:pStyle w:val="Lijstalinea"/>
        <w:numPr>
          <w:ilvl w:val="0"/>
          <w:numId w:val="44"/>
        </w:numPr>
        <w:rPr>
          <w:lang w:val="nl-NL"/>
        </w:rPr>
      </w:pPr>
      <w:r w:rsidRPr="00432DF6">
        <w:rPr>
          <w:lang w:val="nl-NL"/>
        </w:rPr>
        <w:t>De DNB rts van 30 september van het lopende boekjaar</w:t>
      </w:r>
    </w:p>
    <w:p w14:paraId="44CD2C43" w14:textId="77777777" w:rsidR="00AC0B8F" w:rsidRPr="00B43FB5" w:rsidRDefault="00AC0B8F" w:rsidP="001E699B">
      <w:pPr>
        <w:pStyle w:val="Lijstalinea"/>
        <w:numPr>
          <w:ilvl w:val="0"/>
          <w:numId w:val="44"/>
        </w:numPr>
        <w:rPr>
          <w:lang w:val="nl-NL"/>
        </w:rPr>
      </w:pPr>
      <w:r w:rsidRPr="00432DF6">
        <w:rPr>
          <w:lang w:val="nl-NL"/>
        </w:rPr>
        <w:t xml:space="preserve">Een </w:t>
      </w:r>
      <w:r w:rsidRPr="00347516">
        <w:rPr>
          <w:lang w:val="nl-NL"/>
        </w:rPr>
        <w:t xml:space="preserve">solvabiliteitsopslag ter </w:t>
      </w:r>
      <w:r w:rsidRPr="002C0988">
        <w:rPr>
          <w:lang w:val="nl-NL"/>
        </w:rPr>
        <w:t>grootte van het vereist eigen vermogen per 30</w:t>
      </w:r>
      <w:r w:rsidRPr="00E360A2">
        <w:rPr>
          <w:lang w:val="nl-NL"/>
        </w:rPr>
        <w:t xml:space="preserve"> september van het lopende boekjaar</w:t>
      </w:r>
    </w:p>
    <w:p w14:paraId="0E27D34B" w14:textId="29F431D7" w:rsidR="00AC0B8F" w:rsidRPr="001B062F" w:rsidRDefault="00AC0B8F" w:rsidP="001E699B">
      <w:pPr>
        <w:pStyle w:val="Lijstalinea"/>
        <w:numPr>
          <w:ilvl w:val="0"/>
          <w:numId w:val="44"/>
        </w:numPr>
        <w:rPr>
          <w:lang w:val="nl-NL"/>
        </w:rPr>
      </w:pPr>
      <w:r w:rsidRPr="001B062F">
        <w:rPr>
          <w:lang w:val="nl-NL"/>
        </w:rPr>
        <w:t>Een opslag voor toekomstige administratiekosten</w:t>
      </w:r>
      <w:r w:rsidR="00B7029C">
        <w:rPr>
          <w:lang w:val="nl-NL"/>
        </w:rPr>
        <w:t xml:space="preserve"> </w:t>
      </w:r>
      <w:r w:rsidR="003F1331" w:rsidRPr="001B062F">
        <w:rPr>
          <w:lang w:val="nl-NL"/>
        </w:rPr>
        <w:t>conform de veronderstelling van het fonds (202</w:t>
      </w:r>
      <w:r w:rsidR="00BD5D49">
        <w:rPr>
          <w:lang w:val="nl-NL"/>
        </w:rPr>
        <w:t>6</w:t>
      </w:r>
      <w:r w:rsidR="003F1331" w:rsidRPr="001B062F">
        <w:rPr>
          <w:lang w:val="nl-NL"/>
        </w:rPr>
        <w:t>: 2,</w:t>
      </w:r>
      <w:r w:rsidR="00BD5D49">
        <w:rPr>
          <w:lang w:val="nl-NL"/>
        </w:rPr>
        <w:t>50</w:t>
      </w:r>
      <w:r w:rsidR="003F1331" w:rsidRPr="001B062F">
        <w:rPr>
          <w:lang w:val="nl-NL"/>
        </w:rPr>
        <w:t>%)</w:t>
      </w:r>
    </w:p>
    <w:p w14:paraId="2FC0A82C" w14:textId="77777777" w:rsidR="00FB1141" w:rsidRDefault="00AC0B8F" w:rsidP="001E699B">
      <w:pPr>
        <w:pStyle w:val="Lijstalinea"/>
        <w:numPr>
          <w:ilvl w:val="0"/>
          <w:numId w:val="44"/>
        </w:numPr>
        <w:rPr>
          <w:lang w:val="nl-NL"/>
        </w:rPr>
      </w:pPr>
      <w:r w:rsidRPr="001B062F">
        <w:rPr>
          <w:lang w:val="nl-NL"/>
        </w:rPr>
        <w:t>Een opslag voor premievrijstelling bij arbeidsongeschiktheid ter grootte van 4%</w:t>
      </w:r>
      <w:r w:rsidR="003F1331" w:rsidRPr="001B062F">
        <w:rPr>
          <w:lang w:val="nl-NL"/>
        </w:rPr>
        <w:t xml:space="preserve"> </w:t>
      </w:r>
    </w:p>
    <w:p w14:paraId="57E77A9E" w14:textId="1828C360" w:rsidR="003F1331" w:rsidRPr="001B062F" w:rsidRDefault="003F1331" w:rsidP="001E699B">
      <w:pPr>
        <w:pStyle w:val="Lijstalinea"/>
        <w:numPr>
          <w:ilvl w:val="0"/>
          <w:numId w:val="44"/>
        </w:numPr>
        <w:rPr>
          <w:lang w:val="nl-NL"/>
        </w:rPr>
      </w:pPr>
      <w:r w:rsidRPr="001B062F">
        <w:rPr>
          <w:lang w:val="nl-NL"/>
        </w:rPr>
        <w:t xml:space="preserve">Het Anw-bedrag per 1 januari van het komende boekjaar indien deze bekend is. Indien deze niet bekend is, zal </w:t>
      </w:r>
      <w:r w:rsidR="00523C3B">
        <w:rPr>
          <w:lang w:val="nl-NL"/>
        </w:rPr>
        <w:t>ons</w:t>
      </w:r>
      <w:r w:rsidR="00523C3B" w:rsidRPr="001B062F">
        <w:rPr>
          <w:lang w:val="nl-NL"/>
        </w:rPr>
        <w:t xml:space="preserve"> </w:t>
      </w:r>
      <w:r w:rsidRPr="001B062F">
        <w:rPr>
          <w:lang w:val="nl-NL"/>
        </w:rPr>
        <w:t>fonds uitgaan van het Anw bedrag van 1 juli van het lopend boekjaar, geïndexeerd op basis van de cao-lonen, conform de methodiek die de overheid hanteert voor de indexatie van het minimumloon</w:t>
      </w:r>
    </w:p>
    <w:p w14:paraId="472291D3" w14:textId="77777777" w:rsidR="008A0EF5" w:rsidRDefault="008A0EF5" w:rsidP="001E699B">
      <w:pPr>
        <w:pStyle w:val="Lijstalinea"/>
        <w:numPr>
          <w:ilvl w:val="0"/>
          <w:numId w:val="44"/>
        </w:numPr>
        <w:rPr>
          <w:lang w:val="nl-NL"/>
        </w:rPr>
      </w:pPr>
      <w:r w:rsidRPr="00E360A2">
        <w:rPr>
          <w:lang w:val="nl-NL"/>
        </w:rPr>
        <w:t xml:space="preserve">Een opslag vanwege dekking van het </w:t>
      </w:r>
      <w:r>
        <w:rPr>
          <w:lang w:val="nl-NL"/>
        </w:rPr>
        <w:t>tijdelijk nabestaandenpensioen bij vervroegde pensionering</w:t>
      </w:r>
      <w:r w:rsidR="00AC0B8F" w:rsidRPr="00432DF6">
        <w:rPr>
          <w:lang w:val="nl-NL"/>
        </w:rPr>
        <w:t>.</w:t>
      </w:r>
    </w:p>
    <w:p w14:paraId="2087B89F" w14:textId="77777777" w:rsidR="008A0EF5" w:rsidRPr="008A0EF5" w:rsidRDefault="008A0EF5" w:rsidP="00432DF6">
      <w:pPr>
        <w:ind w:left="360"/>
        <w:rPr>
          <w:lang w:val="nl-NL"/>
        </w:rPr>
      </w:pPr>
    </w:p>
    <w:p w14:paraId="7ABCA99F" w14:textId="144119CE" w:rsidR="00AC0B8F" w:rsidRPr="008A0EF5" w:rsidRDefault="00EC2178" w:rsidP="006B5FB0">
      <w:pPr>
        <w:rPr>
          <w:lang w:val="nl-NL"/>
        </w:rPr>
      </w:pPr>
      <w:r w:rsidRPr="008A0EF5">
        <w:rPr>
          <w:lang w:val="nl-NL"/>
        </w:rPr>
        <w:t>D</w:t>
      </w:r>
      <w:r w:rsidRPr="00CD17E2">
        <w:rPr>
          <w:lang w:val="nl-NL"/>
        </w:rPr>
        <w:t xml:space="preserve">e aldus bepaalde </w:t>
      </w:r>
      <w:r w:rsidRPr="00432DF6">
        <w:rPr>
          <w:lang w:val="nl-NL"/>
        </w:rPr>
        <w:t xml:space="preserve">premie </w:t>
      </w:r>
      <w:r w:rsidRPr="008A0EF5">
        <w:rPr>
          <w:lang w:val="nl-NL"/>
        </w:rPr>
        <w:t xml:space="preserve">voor het tijdelijke partnerpensioen </w:t>
      </w:r>
      <w:r w:rsidRPr="00432DF6">
        <w:rPr>
          <w:lang w:val="nl-NL"/>
        </w:rPr>
        <w:t>wordt uitgedrukt in een percentage van de pensioengrondslag in</w:t>
      </w:r>
      <w:r w:rsidRPr="008A0EF5">
        <w:rPr>
          <w:lang w:val="nl-NL"/>
        </w:rPr>
        <w:t xml:space="preserve"> </w:t>
      </w:r>
      <w:r w:rsidRPr="00432DF6">
        <w:rPr>
          <w:lang w:val="nl-NL"/>
        </w:rPr>
        <w:t>twee decimalen, afgerond naar boven.</w:t>
      </w:r>
    </w:p>
    <w:p w14:paraId="614D7E0E" w14:textId="77777777" w:rsidR="007A0343" w:rsidRPr="007A0343" w:rsidRDefault="007A0343" w:rsidP="007A0343">
      <w:pPr>
        <w:rPr>
          <w:lang w:val="nl-NL"/>
        </w:rPr>
      </w:pPr>
    </w:p>
    <w:p w14:paraId="74E9BE2B" w14:textId="0BD68EA0" w:rsidR="007A0343" w:rsidRPr="007A0343" w:rsidRDefault="007A0343" w:rsidP="007A0343">
      <w:pPr>
        <w:rPr>
          <w:lang w:val="nl-NL"/>
        </w:rPr>
      </w:pPr>
      <w:r w:rsidRPr="007A0343">
        <w:rPr>
          <w:lang w:val="nl-NL"/>
        </w:rPr>
        <w:t>Premies en uitvoeringskosten worden op kwartaalbasis vooraf voldaan, met een nacalculatie en verrekening na afloop van het boekjaar.</w:t>
      </w:r>
    </w:p>
    <w:p w14:paraId="463164B7" w14:textId="77777777" w:rsidR="007A0343" w:rsidRPr="007A0343" w:rsidRDefault="007A0343" w:rsidP="007A0343">
      <w:pPr>
        <w:rPr>
          <w:lang w:val="nl-NL"/>
        </w:rPr>
      </w:pPr>
    </w:p>
    <w:p w14:paraId="6FF1AC4D" w14:textId="6EDBEB2D" w:rsidR="007A0343" w:rsidRDefault="007A0343" w:rsidP="007A0343">
      <w:pPr>
        <w:rPr>
          <w:lang w:val="nl-NL"/>
        </w:rPr>
      </w:pPr>
      <w:r w:rsidRPr="007A0343">
        <w:rPr>
          <w:lang w:val="nl-NL"/>
        </w:rPr>
        <w:t xml:space="preserve">Indien sociale partners wijzigingen in de feitelijke premie overeen wensen te komen, dienen die wijzigingen ter toetsing aan </w:t>
      </w:r>
      <w:r w:rsidR="00B52300">
        <w:rPr>
          <w:lang w:val="nl-NL"/>
        </w:rPr>
        <w:t>ons</w:t>
      </w:r>
      <w:r w:rsidR="00B52300" w:rsidRPr="007A0343">
        <w:rPr>
          <w:lang w:val="nl-NL"/>
        </w:rPr>
        <w:t xml:space="preserve"> </w:t>
      </w:r>
      <w:r w:rsidRPr="007A0343">
        <w:rPr>
          <w:lang w:val="nl-NL"/>
        </w:rPr>
        <w:t>fonds te worden voorgelegd.</w:t>
      </w:r>
    </w:p>
    <w:p w14:paraId="256BEE6D" w14:textId="77777777" w:rsidR="00352524" w:rsidRPr="007A0343" w:rsidRDefault="00352524" w:rsidP="007A0343">
      <w:pPr>
        <w:rPr>
          <w:lang w:val="nl-NL"/>
        </w:rPr>
      </w:pPr>
    </w:p>
    <w:p w14:paraId="38A6872B" w14:textId="77777777" w:rsidR="007A0343" w:rsidRPr="007A0343" w:rsidRDefault="007A0343" w:rsidP="00352524">
      <w:pPr>
        <w:pStyle w:val="Kop2"/>
        <w:rPr>
          <w:rFonts w:hint="eastAsia"/>
          <w:lang w:val="nl-NL"/>
        </w:rPr>
      </w:pPr>
      <w:bookmarkStart w:id="36" w:name="_Toc231804762"/>
      <w:r w:rsidRPr="007A0343">
        <w:rPr>
          <w:lang w:val="nl-NL"/>
        </w:rPr>
        <w:t>Vaststelling kostendekkende premie</w:t>
      </w:r>
      <w:bookmarkEnd w:id="36"/>
    </w:p>
    <w:p w14:paraId="679C3F9B" w14:textId="77777777" w:rsidR="00352524" w:rsidRDefault="00352524" w:rsidP="007A0343">
      <w:pPr>
        <w:rPr>
          <w:lang w:val="nl-NL"/>
        </w:rPr>
      </w:pPr>
    </w:p>
    <w:p w14:paraId="704105FB" w14:textId="77777777" w:rsidR="00AC0B8F" w:rsidRPr="00432DF6" w:rsidRDefault="00AC0B8F" w:rsidP="00AC0B8F">
      <w:pPr>
        <w:rPr>
          <w:lang w:val="nl-NL"/>
        </w:rPr>
      </w:pPr>
      <w:r w:rsidRPr="00432DF6">
        <w:rPr>
          <w:lang w:val="nl-NL"/>
        </w:rPr>
        <w:t xml:space="preserve">In het premiebeleid wordt uitgegaan van een kostendekkende premie. Deze kostendekkende premie wordt conform artikel 128 van de Pensioenwet jaarlijks per 1 januari van het boekjaar bepaald als de som van: </w:t>
      </w:r>
    </w:p>
    <w:p w14:paraId="098F64E0" w14:textId="77777777" w:rsidR="00AC0B8F" w:rsidRPr="00432DF6" w:rsidRDefault="00AC0B8F" w:rsidP="001E699B">
      <w:pPr>
        <w:pStyle w:val="Lijstalinea"/>
        <w:numPr>
          <w:ilvl w:val="0"/>
          <w:numId w:val="45"/>
        </w:numPr>
        <w:rPr>
          <w:lang w:val="nl-NL"/>
        </w:rPr>
      </w:pPr>
      <w:r w:rsidRPr="00432DF6">
        <w:rPr>
          <w:lang w:val="nl-NL"/>
        </w:rPr>
        <w:t>De actuariële kosten voor de jaarlijkse inkoop van de in het boekjaar op te bouwen beoogde pensioenaanspraken voor de werknemers die aan de pensioenregeling deelnemen, vermeerderd met de risicopremies voor het partnerpensioen, wezenpensioen en het arbeidsongeschiktheidsrisico en op basis van de grondslagen in bijlage 1.</w:t>
      </w:r>
    </w:p>
    <w:p w14:paraId="5D1D8E0F" w14:textId="77777777" w:rsidR="00AC0B8F" w:rsidRPr="00432DF6" w:rsidRDefault="00AC0B8F" w:rsidP="001E699B">
      <w:pPr>
        <w:pStyle w:val="Lijstalinea"/>
        <w:numPr>
          <w:ilvl w:val="0"/>
          <w:numId w:val="45"/>
        </w:numPr>
        <w:rPr>
          <w:lang w:val="nl-NL"/>
        </w:rPr>
      </w:pPr>
      <w:r w:rsidRPr="00432DF6">
        <w:rPr>
          <w:lang w:val="nl-NL"/>
        </w:rPr>
        <w:lastRenderedPageBreak/>
        <w:t>Een opslag voor uitvoeringskosten.</w:t>
      </w:r>
    </w:p>
    <w:p w14:paraId="51DFC77D" w14:textId="77777777" w:rsidR="00AC0B8F" w:rsidRPr="00432DF6" w:rsidRDefault="00AC0B8F" w:rsidP="001E699B">
      <w:pPr>
        <w:pStyle w:val="Lijstalinea"/>
        <w:numPr>
          <w:ilvl w:val="0"/>
          <w:numId w:val="45"/>
        </w:numPr>
        <w:rPr>
          <w:lang w:val="nl-NL"/>
        </w:rPr>
      </w:pPr>
      <w:r w:rsidRPr="00432DF6">
        <w:rPr>
          <w:lang w:val="nl-NL"/>
        </w:rPr>
        <w:t>Een solvabiliteitsopslag conform het wettelijk vereist eigen vermogen over a.</w:t>
      </w:r>
    </w:p>
    <w:p w14:paraId="10F4F1C9" w14:textId="77777777" w:rsidR="00AC0B8F" w:rsidRPr="00432DF6" w:rsidRDefault="00AC0B8F" w:rsidP="001E699B">
      <w:pPr>
        <w:pStyle w:val="Lijstalinea"/>
        <w:numPr>
          <w:ilvl w:val="0"/>
          <w:numId w:val="45"/>
        </w:numPr>
        <w:rPr>
          <w:lang w:val="nl-NL"/>
        </w:rPr>
      </w:pPr>
      <w:r w:rsidRPr="00432DF6">
        <w:rPr>
          <w:lang w:val="nl-NL"/>
        </w:rPr>
        <w:t>Voor</w:t>
      </w:r>
      <w:r w:rsidR="00EC2178">
        <w:rPr>
          <w:lang w:val="nl-NL"/>
        </w:rPr>
        <w:t xml:space="preserve"> </w:t>
      </w:r>
      <w:r w:rsidRPr="00432DF6">
        <w:rPr>
          <w:lang w:val="nl-NL"/>
        </w:rPr>
        <w:t>zover het géén nominaal pensioen betreft, de actuarieel benodigde premie voor voorwaardelijke onderdelen van de pensioenovereenkomst, met inachtneming van de geformuleerde ambitie en afgesproken wijze van financieren.</w:t>
      </w:r>
    </w:p>
    <w:p w14:paraId="1FEC6AA9" w14:textId="18E95BC9" w:rsidR="00AC0B8F" w:rsidRPr="00432DF6" w:rsidRDefault="00AC0B8F" w:rsidP="00AC0B8F">
      <w:pPr>
        <w:rPr>
          <w:lang w:val="nl-NL"/>
        </w:rPr>
      </w:pPr>
      <w:r w:rsidRPr="00432DF6">
        <w:rPr>
          <w:lang w:val="nl-NL"/>
        </w:rPr>
        <w:t xml:space="preserve">De vermelde solvabiliteitsopslag moet gelijk zijn aan het wettelijk vereist eigen vermogen </w:t>
      </w:r>
      <w:r w:rsidR="00523C3B">
        <w:rPr>
          <w:lang w:val="nl-NL"/>
        </w:rPr>
        <w:t>die</w:t>
      </w:r>
      <w:r w:rsidR="00523C3B" w:rsidRPr="00432DF6">
        <w:rPr>
          <w:lang w:val="nl-NL"/>
        </w:rPr>
        <w:t xml:space="preserve"> </w:t>
      </w:r>
      <w:r w:rsidRPr="00432DF6">
        <w:rPr>
          <w:lang w:val="nl-NL"/>
        </w:rPr>
        <w:t xml:space="preserve">aan moet sluiten bij het strategisch beleggingsbeleid. De grondslagen voor vaststelling van de kostendekkende premie worden door het bestuur van </w:t>
      </w:r>
      <w:r w:rsidR="00523C3B">
        <w:rPr>
          <w:lang w:val="nl-NL"/>
        </w:rPr>
        <w:t>ons</w:t>
      </w:r>
      <w:r w:rsidR="00523C3B" w:rsidRPr="00432DF6">
        <w:rPr>
          <w:lang w:val="nl-NL"/>
        </w:rPr>
        <w:t xml:space="preserve"> </w:t>
      </w:r>
      <w:r w:rsidRPr="00432DF6">
        <w:rPr>
          <w:lang w:val="nl-NL"/>
        </w:rPr>
        <w:t>fonds vastgesteld. Voor de berekening van de actuarieel benodigde premie wordt met het oog op demping (in overeenstemming met het bepaalde in artikel 4 van het Besluit FTK en artikel 128 van de Pensioenwet) uitgegaan van een vastgestelde verwachte waarde van het toekomstig rendement.</w:t>
      </w:r>
    </w:p>
    <w:p w14:paraId="4BC4A98A" w14:textId="77777777" w:rsidR="00AC0B8F" w:rsidRPr="00432DF6" w:rsidRDefault="00AC0B8F" w:rsidP="00AC0B8F">
      <w:pPr>
        <w:rPr>
          <w:lang w:val="nl-NL"/>
        </w:rPr>
      </w:pPr>
    </w:p>
    <w:p w14:paraId="52A8EC4C" w14:textId="77777777" w:rsidR="00AC0B8F" w:rsidRPr="00432DF6" w:rsidRDefault="00AC0B8F" w:rsidP="00AC0B8F">
      <w:pPr>
        <w:rPr>
          <w:lang w:val="nl-NL"/>
        </w:rPr>
      </w:pPr>
      <w:r w:rsidRPr="00432DF6">
        <w:rPr>
          <w:lang w:val="nl-NL"/>
        </w:rPr>
        <w:t>De verwachte waarde van het toekomstig rendement wordt vastgesteld op basis van de volgende uitgangspunten:</w:t>
      </w:r>
    </w:p>
    <w:p w14:paraId="357DFF4B" w14:textId="77777777" w:rsidR="00AC0B8F" w:rsidRPr="00432DF6" w:rsidRDefault="00AC0B8F" w:rsidP="00AC0B8F">
      <w:pPr>
        <w:ind w:left="357" w:hanging="357"/>
        <w:rPr>
          <w:lang w:val="nl-NL"/>
        </w:rPr>
      </w:pPr>
      <w:r w:rsidRPr="00432DF6">
        <w:rPr>
          <w:lang w:val="nl-NL"/>
        </w:rPr>
        <w:t>•</w:t>
      </w:r>
      <w:r w:rsidRPr="00432DF6">
        <w:rPr>
          <w:lang w:val="nl-NL"/>
        </w:rPr>
        <w:tab/>
        <w:t>Er wordt uitgegaan van de berekeningsmethodiek zoals vastgelegd in artikel 23a van het Besluit FTK Pensioenfondsen.</w:t>
      </w:r>
    </w:p>
    <w:p w14:paraId="3DB7B85D" w14:textId="7E27853D" w:rsidR="00AC0B8F" w:rsidRPr="00432DF6" w:rsidRDefault="00AC0B8F" w:rsidP="00AC0B8F">
      <w:pPr>
        <w:ind w:left="357" w:hanging="357"/>
        <w:rPr>
          <w:lang w:val="nl-NL"/>
        </w:rPr>
      </w:pPr>
      <w:r w:rsidRPr="00432DF6">
        <w:rPr>
          <w:lang w:val="nl-NL"/>
        </w:rPr>
        <w:t>•</w:t>
      </w:r>
      <w:r w:rsidRPr="00432DF6">
        <w:rPr>
          <w:lang w:val="nl-NL"/>
        </w:rPr>
        <w:tab/>
        <w:t>Het verwacht netto meetkundig rendement op vastrentende waarden, bedoeld in artikel 23a van het Besluit FTK Pensioenfondsen wordt vastgezet voor een periode van vijf jaar (20</w:t>
      </w:r>
      <w:r w:rsidR="00BD5D49">
        <w:rPr>
          <w:lang w:val="nl-NL"/>
        </w:rPr>
        <w:t>24</w:t>
      </w:r>
      <w:r w:rsidRPr="00432DF6">
        <w:rPr>
          <w:lang w:val="nl-NL"/>
        </w:rPr>
        <w:t xml:space="preserve"> tot en met 202</w:t>
      </w:r>
      <w:r w:rsidR="00BD5D49">
        <w:rPr>
          <w:lang w:val="nl-NL"/>
        </w:rPr>
        <w:t>8</w:t>
      </w:r>
      <w:r w:rsidRPr="00432DF6">
        <w:rPr>
          <w:lang w:val="nl-NL"/>
        </w:rPr>
        <w:t>) op basis van de door DNB gepubliceerde rentetermijnstructuur per 30 september 20</w:t>
      </w:r>
      <w:r w:rsidR="00BD5D49">
        <w:rPr>
          <w:lang w:val="nl-NL"/>
        </w:rPr>
        <w:t>23</w:t>
      </w:r>
      <w:r w:rsidRPr="00432DF6">
        <w:rPr>
          <w:lang w:val="nl-NL"/>
        </w:rPr>
        <w:t>.</w:t>
      </w:r>
    </w:p>
    <w:p w14:paraId="4C2892A3" w14:textId="4D2F68ED" w:rsidR="00AC0B8F" w:rsidRPr="00432DF6" w:rsidRDefault="00AC0B8F" w:rsidP="00AC0B8F">
      <w:pPr>
        <w:ind w:left="357" w:hanging="357"/>
        <w:rPr>
          <w:lang w:val="nl-NL"/>
        </w:rPr>
      </w:pPr>
      <w:r w:rsidRPr="00432DF6">
        <w:rPr>
          <w:lang w:val="nl-NL"/>
        </w:rPr>
        <w:t>•</w:t>
      </w:r>
      <w:r w:rsidRPr="00432DF6">
        <w:rPr>
          <w:lang w:val="nl-NL"/>
        </w:rPr>
        <w:tab/>
        <w:t>Het verwacht netto meetkundig rendement zakelijke waarden en overige beleggingen wordt bepaald op basis van de per 30 september 20</w:t>
      </w:r>
      <w:r w:rsidR="00BD5D49">
        <w:rPr>
          <w:lang w:val="nl-NL"/>
        </w:rPr>
        <w:t>23</w:t>
      </w:r>
      <w:r w:rsidRPr="00432DF6">
        <w:rPr>
          <w:lang w:val="nl-NL"/>
        </w:rPr>
        <w:t xml:space="preserve"> maximaal te hanteren parameters zoals vastgelegd in artikel 23a van het Besluit FTK Pensioenfondsen.</w:t>
      </w:r>
    </w:p>
    <w:p w14:paraId="4B8E62A9" w14:textId="2ED91800" w:rsidR="00AC0B8F" w:rsidRPr="00432DF6" w:rsidRDefault="00AC0B8F" w:rsidP="00AC0B8F">
      <w:pPr>
        <w:ind w:left="357" w:hanging="357"/>
        <w:rPr>
          <w:lang w:val="nl-NL"/>
        </w:rPr>
      </w:pPr>
      <w:r w:rsidRPr="00432DF6">
        <w:rPr>
          <w:lang w:val="nl-NL"/>
        </w:rPr>
        <w:t>•</w:t>
      </w:r>
      <w:r w:rsidRPr="00432DF6">
        <w:rPr>
          <w:lang w:val="nl-NL"/>
        </w:rPr>
        <w:tab/>
        <w:t>Het strategische beleggingsbeleid voor het jaar 20</w:t>
      </w:r>
      <w:r w:rsidR="00BD5D49">
        <w:rPr>
          <w:lang w:val="nl-NL"/>
        </w:rPr>
        <w:t>24</w:t>
      </w:r>
      <w:r w:rsidRPr="00432DF6">
        <w:rPr>
          <w:lang w:val="nl-NL"/>
        </w:rPr>
        <w:t xml:space="preserve"> is het uitgangspunt voor het vaststellen van het verwacht netto meetkundig beleggingsrendement. Bij een wijziging van het strategische beleggingsbeleid wordt het verwacht netto meetkundig beleggingsrendement opnieuw vastgesteld.</w:t>
      </w:r>
    </w:p>
    <w:p w14:paraId="347EBB2C" w14:textId="056C3394" w:rsidR="00AC0B8F" w:rsidRPr="00432DF6" w:rsidRDefault="00AC0B8F" w:rsidP="00AC0B8F">
      <w:pPr>
        <w:rPr>
          <w:lang w:val="nl-NL"/>
        </w:rPr>
      </w:pPr>
      <w:r w:rsidRPr="00432DF6">
        <w:rPr>
          <w:lang w:val="nl-NL"/>
        </w:rPr>
        <w:br/>
      </w:r>
    </w:p>
    <w:p w14:paraId="7CDF6085" w14:textId="36771FF4" w:rsidR="00AC0B8F" w:rsidRPr="00432DF6" w:rsidRDefault="00AC0B8F" w:rsidP="00AC0B8F">
      <w:pPr>
        <w:rPr>
          <w:lang w:val="nl-NL"/>
        </w:rPr>
      </w:pPr>
      <w:r w:rsidRPr="00432DF6">
        <w:rPr>
          <w:lang w:val="nl-NL"/>
        </w:rPr>
        <w:t>Voor vaststelling van de gedempte kostendekkende premie worden de onder onderdeel a. gehanteerde pensioenaanspraken en risicodekkingen conform artikel 4 van het Besluit FTK Pensioenfondsen verhoogd met een toekomstige toeslagverlening ter hoogte van de minimale verwachtingswaarde voor de groeivoet van het prijsindexcijfer, bedoeld in artikel 23a van het Besluit FTK Pensioenfondsen (inclusief ingroeipad voor de eerste vijf jaar conform de CPB-raming september 20</w:t>
      </w:r>
      <w:r w:rsidR="00BD5D49">
        <w:rPr>
          <w:lang w:val="nl-NL"/>
        </w:rPr>
        <w:t>23</w:t>
      </w:r>
      <w:r w:rsidRPr="00432DF6">
        <w:rPr>
          <w:lang w:val="nl-NL"/>
        </w:rPr>
        <w:t xml:space="preserve"> met een prijsindexcijfer van 1,3%), die eveneens wordt vastgezet voor een periode van vijf jaar (20</w:t>
      </w:r>
      <w:r w:rsidR="00BD5D49">
        <w:rPr>
          <w:lang w:val="nl-NL"/>
        </w:rPr>
        <w:t>23</w:t>
      </w:r>
      <w:r w:rsidRPr="00432DF6">
        <w:rPr>
          <w:lang w:val="nl-NL"/>
        </w:rPr>
        <w:t xml:space="preserve"> tot en met 202</w:t>
      </w:r>
      <w:r w:rsidR="00BD5D49">
        <w:rPr>
          <w:lang w:val="nl-NL"/>
        </w:rPr>
        <w:t>7</w:t>
      </w:r>
      <w:r w:rsidRPr="00432DF6">
        <w:rPr>
          <w:lang w:val="nl-NL"/>
        </w:rPr>
        <w:t>). Onderdeel d. van de kostendekkende premie, is gelijk aan de actuariële kosten van deze verhoging met de toekomstige toeslagverlening op basis van het verwacht netto meetkundig beleggingsrendement minus c.</w:t>
      </w:r>
    </w:p>
    <w:p w14:paraId="2086D0D8" w14:textId="77777777" w:rsidR="00AC0B8F" w:rsidRPr="00432DF6" w:rsidRDefault="00AC0B8F" w:rsidP="00AC0B8F">
      <w:pPr>
        <w:rPr>
          <w:lang w:val="nl-NL"/>
        </w:rPr>
      </w:pPr>
    </w:p>
    <w:p w14:paraId="6F06B220" w14:textId="77777777" w:rsidR="00AC0B8F" w:rsidRPr="00432DF6" w:rsidRDefault="00AC0B8F" w:rsidP="00AC0B8F">
      <w:pPr>
        <w:rPr>
          <w:lang w:val="nl-NL"/>
        </w:rPr>
      </w:pPr>
      <w:r w:rsidRPr="00432DF6">
        <w:rPr>
          <w:lang w:val="nl-NL"/>
        </w:rPr>
        <w:t>Hiertoe is in aanvulling een rendementscurve voor het verwacht netto reëel rendement vastgesteld.</w:t>
      </w:r>
    </w:p>
    <w:p w14:paraId="6EEC76A6" w14:textId="77777777" w:rsidR="00AC0B8F" w:rsidRPr="00432DF6" w:rsidRDefault="00AC0B8F" w:rsidP="00AC0B8F">
      <w:pPr>
        <w:rPr>
          <w:lang w:val="nl-NL"/>
        </w:rPr>
      </w:pPr>
    </w:p>
    <w:p w14:paraId="0090B66B" w14:textId="77777777" w:rsidR="00AC0B8F" w:rsidRPr="00432DF6" w:rsidRDefault="00AC0B8F" w:rsidP="00AC0B8F">
      <w:pPr>
        <w:rPr>
          <w:lang w:val="nl-NL"/>
        </w:rPr>
      </w:pPr>
    </w:p>
    <w:p w14:paraId="43084676" w14:textId="298F29F8" w:rsidR="0061043F" w:rsidRDefault="00AC0B8F" w:rsidP="00AC0B8F">
      <w:pPr>
        <w:rPr>
          <w:lang w:val="nl-NL"/>
        </w:rPr>
      </w:pPr>
      <w:r w:rsidRPr="00432DF6">
        <w:rPr>
          <w:lang w:val="nl-NL"/>
        </w:rPr>
        <w:t>De feitelijke premie zoals beschreven in 8.1 wordt jaarlijks, bij aanvang van het jaar, getoetst aan de hierboven beschreven gedempte kostendekkende premie. Bij deze toetsing geldt bovendien een aanvullende eis met betrekking tot de premiedekkingsgraad van minimaal 10</w:t>
      </w:r>
      <w:r w:rsidR="003A19D9">
        <w:rPr>
          <w:lang w:val="nl-NL"/>
        </w:rPr>
        <w:t>0</w:t>
      </w:r>
      <w:r w:rsidRPr="00432DF6">
        <w:rPr>
          <w:lang w:val="nl-NL"/>
        </w:rPr>
        <w:t xml:space="preserve">% (niet-gedempt), gemeten per 30 september van het jaar voorafgaand aan het boekjaar. </w:t>
      </w:r>
    </w:p>
    <w:p w14:paraId="750C6A61" w14:textId="77777777" w:rsidR="0061043F" w:rsidRDefault="0061043F" w:rsidP="00AC0B8F">
      <w:pPr>
        <w:rPr>
          <w:lang w:val="nl-NL"/>
        </w:rPr>
      </w:pPr>
    </w:p>
    <w:p w14:paraId="4AB2E0F1" w14:textId="7449CA6F" w:rsidR="00AC0B8F" w:rsidRPr="00432DF6" w:rsidRDefault="00AC0B8F" w:rsidP="00AC0B8F">
      <w:pPr>
        <w:rPr>
          <w:lang w:val="nl-NL"/>
        </w:rPr>
      </w:pPr>
      <w:r w:rsidRPr="00432DF6">
        <w:rPr>
          <w:lang w:val="nl-NL"/>
        </w:rPr>
        <w:t xml:space="preserve">Ten aanzien van de minimale premiedekkingsgraadseis geldt dat de premie voor het tijdelijk partnerpensioen buiten de berekening van de premiedekkingsgraad blijft. Het bestuur van </w:t>
      </w:r>
      <w:r w:rsidR="00211C79">
        <w:rPr>
          <w:lang w:val="nl-NL"/>
        </w:rPr>
        <w:t>ons</w:t>
      </w:r>
      <w:r w:rsidR="00211C79" w:rsidRPr="00432DF6">
        <w:rPr>
          <w:lang w:val="nl-NL"/>
        </w:rPr>
        <w:t xml:space="preserve"> </w:t>
      </w:r>
      <w:r w:rsidRPr="00432DF6">
        <w:rPr>
          <w:lang w:val="nl-NL"/>
        </w:rPr>
        <w:t xml:space="preserve">fonds heeft de discretionaire bevoegdheid om van deze </w:t>
      </w:r>
      <w:r w:rsidR="00320336">
        <w:rPr>
          <w:lang w:val="nl-NL"/>
        </w:rPr>
        <w:t xml:space="preserve">minimale </w:t>
      </w:r>
      <w:r w:rsidRPr="00432DF6">
        <w:rPr>
          <w:lang w:val="nl-NL"/>
        </w:rPr>
        <w:t xml:space="preserve">premiedekkingsgraadseis af te wijken. </w:t>
      </w:r>
    </w:p>
    <w:p w14:paraId="4B6C4EA0" w14:textId="77777777" w:rsidR="00AC0B8F" w:rsidRDefault="00AC0B8F" w:rsidP="00AC0B8F">
      <w:pPr>
        <w:spacing w:after="200" w:line="276" w:lineRule="auto"/>
        <w:rPr>
          <w:i/>
          <w:lang w:val="nl-NL"/>
        </w:rPr>
      </w:pPr>
    </w:p>
    <w:p w14:paraId="7E976D33" w14:textId="77777777" w:rsidR="007A0343" w:rsidRPr="007A0343" w:rsidRDefault="007A0343" w:rsidP="007A0343">
      <w:pPr>
        <w:rPr>
          <w:lang w:val="nl-NL"/>
        </w:rPr>
      </w:pPr>
    </w:p>
    <w:p w14:paraId="12454407" w14:textId="77777777" w:rsidR="007A0343" w:rsidRPr="007A0343" w:rsidRDefault="007A0343" w:rsidP="00352524">
      <w:pPr>
        <w:pStyle w:val="Kop2"/>
        <w:rPr>
          <w:rFonts w:hint="eastAsia"/>
          <w:lang w:val="nl-NL"/>
        </w:rPr>
      </w:pPr>
      <w:bookmarkStart w:id="37" w:name="_Toc231804763"/>
      <w:r w:rsidRPr="007A0343">
        <w:rPr>
          <w:lang w:val="nl-NL"/>
        </w:rPr>
        <w:lastRenderedPageBreak/>
        <w:t>Overige bepalingen</w:t>
      </w:r>
      <w:bookmarkEnd w:id="37"/>
    </w:p>
    <w:p w14:paraId="064F75D2" w14:textId="77777777" w:rsidR="00352524" w:rsidRDefault="00352524" w:rsidP="007A0343">
      <w:pPr>
        <w:rPr>
          <w:lang w:val="nl-NL"/>
        </w:rPr>
      </w:pPr>
    </w:p>
    <w:p w14:paraId="3167B263" w14:textId="4DE7FF22" w:rsidR="007A0343" w:rsidRPr="007A0343" w:rsidRDefault="007A0343" w:rsidP="007A0343">
      <w:pPr>
        <w:rPr>
          <w:lang w:val="nl-NL"/>
        </w:rPr>
      </w:pPr>
      <w:r w:rsidRPr="007A0343">
        <w:rPr>
          <w:lang w:val="nl-NL"/>
        </w:rPr>
        <w:t xml:space="preserve">Indien de feitelijke premie hoger is dan de kostendekkende premie zal het meerdere worden toegevoegd aan het eigen vermogen van </w:t>
      </w:r>
      <w:r w:rsidR="00211C79">
        <w:rPr>
          <w:lang w:val="nl-NL"/>
        </w:rPr>
        <w:t>ons fonds</w:t>
      </w:r>
      <w:r w:rsidRPr="007A0343">
        <w:rPr>
          <w:lang w:val="nl-NL"/>
        </w:rPr>
        <w:t>. Indien in enig jaar op 1 januari blijkt dat de feitelijke premie lager is dan de kostendekkende premie, zullen de te verwerven pensioenaanspraken zodanig worden verminderd dat de feitelijke premie gelijk is aan de kostendekkende premie.</w:t>
      </w:r>
    </w:p>
    <w:p w14:paraId="7233432C" w14:textId="77777777" w:rsidR="007A0343" w:rsidRPr="007A0343" w:rsidRDefault="007A0343" w:rsidP="007A0343">
      <w:pPr>
        <w:rPr>
          <w:lang w:val="nl-NL"/>
        </w:rPr>
      </w:pPr>
    </w:p>
    <w:p w14:paraId="33A4EC91" w14:textId="77777777" w:rsidR="007A0343" w:rsidRPr="007A0343" w:rsidRDefault="007A0343" w:rsidP="007A0343">
      <w:pPr>
        <w:rPr>
          <w:lang w:val="nl-NL"/>
        </w:rPr>
      </w:pPr>
      <w:r w:rsidRPr="007A0343">
        <w:rPr>
          <w:lang w:val="nl-NL"/>
        </w:rPr>
        <w:t xml:space="preserve">De premieheffing geschiedt in een boekjaar op basis van een vast percentage van de pensioengrondslag. De betaling vindt plaats in vier kwartaaltermijnen binnen 14 dagen na het begin van het kwartaal. Elk kwartaal wordt het verschuldigde premiebedrag herijkt aan de hand van het verloop van het deelnemersbestand. Uiterlijk 1 juli in het navolgende boekjaar wordt een eindafrekening gemaakt. </w:t>
      </w:r>
    </w:p>
    <w:p w14:paraId="59143AA2" w14:textId="77777777" w:rsidR="007A0343" w:rsidRPr="007A0343" w:rsidRDefault="007A0343" w:rsidP="007A0343">
      <w:pPr>
        <w:rPr>
          <w:lang w:val="nl-NL"/>
        </w:rPr>
      </w:pPr>
    </w:p>
    <w:p w14:paraId="781A4F63" w14:textId="58338A1A" w:rsidR="007A0343" w:rsidRPr="007A0343" w:rsidRDefault="007A0343" w:rsidP="007A0343">
      <w:pPr>
        <w:rPr>
          <w:lang w:val="nl-NL"/>
        </w:rPr>
      </w:pPr>
      <w:r w:rsidRPr="007A0343">
        <w:rPr>
          <w:lang w:val="nl-NL"/>
        </w:rPr>
        <w:t xml:space="preserve">Bij een betalingsachterstand zal </w:t>
      </w:r>
      <w:r w:rsidR="0005307C">
        <w:rPr>
          <w:lang w:val="nl-NL"/>
        </w:rPr>
        <w:t xml:space="preserve">ons </w:t>
      </w:r>
      <w:r w:rsidR="001B2EC0">
        <w:rPr>
          <w:lang w:val="nl-NL"/>
        </w:rPr>
        <w:t>fonds</w:t>
      </w:r>
      <w:r w:rsidRPr="007A0343">
        <w:rPr>
          <w:lang w:val="nl-NL"/>
        </w:rPr>
        <w:t xml:space="preserve"> binnen 30 dagen na aanvang van het kwartaal de werkgever schriftelijk aanmanen.</w:t>
      </w:r>
    </w:p>
    <w:p w14:paraId="24647071" w14:textId="77777777" w:rsidR="007A0343" w:rsidRPr="007A0343" w:rsidRDefault="007A0343" w:rsidP="007A0343">
      <w:pPr>
        <w:rPr>
          <w:lang w:val="nl-NL"/>
        </w:rPr>
      </w:pPr>
    </w:p>
    <w:p w14:paraId="3C3A730C" w14:textId="77777777" w:rsidR="007A0343" w:rsidRPr="007A0343" w:rsidRDefault="007A0343" w:rsidP="007A0343">
      <w:pPr>
        <w:rPr>
          <w:lang w:val="nl-NL"/>
        </w:rPr>
      </w:pPr>
      <w:r w:rsidRPr="007A0343">
        <w:rPr>
          <w:lang w:val="nl-NL"/>
        </w:rPr>
        <w:t>De werkelijke uitvoeringskosten worden vergoed door de werkgever</w:t>
      </w:r>
      <w:r w:rsidR="00780EE5">
        <w:rPr>
          <w:lang w:val="nl-NL"/>
        </w:rPr>
        <w:t>.</w:t>
      </w:r>
      <w:r w:rsidRPr="007A0343">
        <w:rPr>
          <w:lang w:val="nl-NL"/>
        </w:rPr>
        <w:t xml:space="preserve"> Het fonds toont in het bestuursverslag bij de jaarrekening de werkelijke kosten, zowel op niveau als op basis van een toedeling aan (gewezen) deelnemers en pensioengerechtigden, in overeenstemming met de aanbevelingen van de Pensioenfederatie. De ontvangen vergoeding wordt daarbij apart getoond. </w:t>
      </w:r>
    </w:p>
    <w:p w14:paraId="295C5E97" w14:textId="77777777" w:rsidR="007A0343" w:rsidRPr="007A0343" w:rsidRDefault="007A0343" w:rsidP="007A0343">
      <w:pPr>
        <w:rPr>
          <w:lang w:val="nl-NL"/>
        </w:rPr>
      </w:pPr>
    </w:p>
    <w:p w14:paraId="57A5886B" w14:textId="77777777" w:rsidR="007A0343" w:rsidRPr="007A0343" w:rsidRDefault="007A0343" w:rsidP="00352524">
      <w:pPr>
        <w:pStyle w:val="Kop1"/>
        <w:rPr>
          <w:rFonts w:hint="eastAsia"/>
          <w:lang w:val="nl-NL"/>
        </w:rPr>
      </w:pPr>
      <w:bookmarkStart w:id="38" w:name="_Toc231804764"/>
      <w:r w:rsidRPr="007A0343">
        <w:rPr>
          <w:lang w:val="nl-NL"/>
        </w:rPr>
        <w:t>Financiële sturingsmiddelen</w:t>
      </w:r>
      <w:bookmarkEnd w:id="38"/>
    </w:p>
    <w:p w14:paraId="046F483E" w14:textId="77777777" w:rsidR="007A0343" w:rsidRPr="007A0343" w:rsidRDefault="007A0343" w:rsidP="00352524">
      <w:pPr>
        <w:pStyle w:val="Kop2"/>
        <w:rPr>
          <w:rFonts w:hint="eastAsia"/>
          <w:lang w:val="nl-NL"/>
        </w:rPr>
      </w:pPr>
      <w:bookmarkStart w:id="39" w:name="_Toc231804765"/>
      <w:r w:rsidRPr="007A0343">
        <w:rPr>
          <w:lang w:val="nl-NL"/>
        </w:rPr>
        <w:t>Risico’s die de onverminderde uitvoering van de regeling bedreigen</w:t>
      </w:r>
      <w:bookmarkEnd w:id="39"/>
    </w:p>
    <w:p w14:paraId="3C331E0F" w14:textId="77777777" w:rsidR="00352524" w:rsidRDefault="00352524" w:rsidP="007A0343">
      <w:pPr>
        <w:rPr>
          <w:lang w:val="nl-NL"/>
        </w:rPr>
      </w:pPr>
    </w:p>
    <w:p w14:paraId="1014ED62" w14:textId="4C45DD9D" w:rsidR="007A0343" w:rsidRPr="007A0343" w:rsidRDefault="007A0343" w:rsidP="007A0343">
      <w:pPr>
        <w:rPr>
          <w:lang w:val="nl-NL"/>
        </w:rPr>
      </w:pPr>
      <w:r w:rsidRPr="007A0343">
        <w:rPr>
          <w:lang w:val="nl-NL"/>
        </w:rPr>
        <w:t xml:space="preserve">De belangrijkste risico’s </w:t>
      </w:r>
      <w:r w:rsidR="0017430E">
        <w:rPr>
          <w:lang w:val="nl-NL"/>
        </w:rPr>
        <w:t>die</w:t>
      </w:r>
      <w:r w:rsidR="0017430E" w:rsidRPr="007A0343">
        <w:rPr>
          <w:lang w:val="nl-NL"/>
        </w:rPr>
        <w:t xml:space="preserve"> </w:t>
      </w:r>
      <w:r w:rsidRPr="007A0343">
        <w:rPr>
          <w:lang w:val="nl-NL"/>
        </w:rPr>
        <w:t xml:space="preserve">de onverminderde uitvoering van de reglementaire bepalingen bedreigen zijn het renterisico, </w:t>
      </w:r>
      <w:r w:rsidR="00AF1FFF">
        <w:rPr>
          <w:lang w:val="nl-NL"/>
        </w:rPr>
        <w:t xml:space="preserve">het aandelenrisico, </w:t>
      </w:r>
      <w:r w:rsidRPr="007A0343">
        <w:rPr>
          <w:lang w:val="nl-NL"/>
        </w:rPr>
        <w:t>het inflatierisico, het kredietrisico, het valutarisico</w:t>
      </w:r>
      <w:r w:rsidR="00E84371">
        <w:rPr>
          <w:lang w:val="nl-NL"/>
        </w:rPr>
        <w:t xml:space="preserve">, </w:t>
      </w:r>
      <w:r w:rsidR="00CC04A7">
        <w:rPr>
          <w:lang w:val="nl-NL"/>
        </w:rPr>
        <w:t xml:space="preserve">het </w:t>
      </w:r>
      <w:r w:rsidR="00E84371">
        <w:rPr>
          <w:lang w:val="nl-NL"/>
        </w:rPr>
        <w:t>duurzaamheidsrisico</w:t>
      </w:r>
      <w:r w:rsidRPr="007A0343">
        <w:rPr>
          <w:lang w:val="nl-NL"/>
        </w:rPr>
        <w:t xml:space="preserve"> en het langlevenrisico. Daarnaast zal bij een veroudering van het werknemersbestand de gemiddelde kostprijs van de pensioeninkoop stijgen en kan het arbeidsongeschiktheidsrisico veranderen. </w:t>
      </w:r>
    </w:p>
    <w:p w14:paraId="0DE38A78" w14:textId="77777777" w:rsidR="003E46D8" w:rsidRDefault="003E46D8" w:rsidP="007A0343">
      <w:pPr>
        <w:rPr>
          <w:lang w:val="nl-NL"/>
        </w:rPr>
      </w:pPr>
    </w:p>
    <w:p w14:paraId="6D43C41B" w14:textId="37020F8C" w:rsidR="007A0343" w:rsidRDefault="0017430E" w:rsidP="007A0343">
      <w:pPr>
        <w:rPr>
          <w:lang w:val="nl-NL"/>
        </w:rPr>
      </w:pPr>
      <w:r>
        <w:rPr>
          <w:lang w:val="nl-NL"/>
        </w:rPr>
        <w:t>Ons</w:t>
      </w:r>
      <w:r w:rsidRPr="007A0343">
        <w:rPr>
          <w:lang w:val="nl-NL"/>
        </w:rPr>
        <w:t xml:space="preserve"> </w:t>
      </w:r>
      <w:r w:rsidR="007A0343" w:rsidRPr="007A0343">
        <w:rPr>
          <w:lang w:val="nl-NL"/>
        </w:rPr>
        <w:t xml:space="preserve">fonds heeft het overlijdensrisico en arbeidsongeschiktheidsrisico herverzekerd op stop-loss basis. Ten aanzien van het langlevenrisico heeft het bestuur met de keuze voor sterftekansen op basis van de meest recente overlevingstafels, waarin tevens een voorzienbare sterftetrend is opgenomen, gekozen voor een voorzichtige grondslag. Het bestuur heeft met de gekozen technische beleidsuitgangspunten getracht de kans dat </w:t>
      </w:r>
      <w:r w:rsidR="00A06514">
        <w:rPr>
          <w:lang w:val="nl-NL"/>
        </w:rPr>
        <w:t>ons fonds</w:t>
      </w:r>
      <w:r w:rsidR="007A0343" w:rsidRPr="007A0343">
        <w:rPr>
          <w:lang w:val="nl-NL"/>
        </w:rPr>
        <w:t xml:space="preserve"> gedurig aan zijn verplichtingen zal kunnen voldoen, zo groot mogelijk te maken.</w:t>
      </w:r>
    </w:p>
    <w:p w14:paraId="631D0DBE" w14:textId="1448F330" w:rsidR="007A0343" w:rsidRPr="007A0343" w:rsidRDefault="007A0343" w:rsidP="00352524">
      <w:pPr>
        <w:pStyle w:val="Kop2"/>
        <w:rPr>
          <w:rFonts w:hint="eastAsia"/>
          <w:lang w:val="nl-NL"/>
        </w:rPr>
      </w:pPr>
      <w:bookmarkStart w:id="40" w:name="_Toc231804766"/>
      <w:r w:rsidRPr="007A0343">
        <w:rPr>
          <w:lang w:val="nl-NL"/>
        </w:rPr>
        <w:t>Sturingsmiddelen</w:t>
      </w:r>
      <w:bookmarkEnd w:id="40"/>
    </w:p>
    <w:p w14:paraId="6CA51B73" w14:textId="77777777" w:rsidR="00352524" w:rsidRDefault="00352524" w:rsidP="007A0343">
      <w:pPr>
        <w:rPr>
          <w:lang w:val="nl-NL"/>
        </w:rPr>
      </w:pPr>
    </w:p>
    <w:p w14:paraId="151AEB10" w14:textId="651B5017" w:rsidR="007A0343" w:rsidRDefault="007A0343" w:rsidP="007A0343">
      <w:pPr>
        <w:rPr>
          <w:lang w:val="nl-NL"/>
        </w:rPr>
      </w:pPr>
      <w:r w:rsidRPr="007A0343">
        <w:rPr>
          <w:lang w:val="nl-NL"/>
        </w:rPr>
        <w:t xml:space="preserve">De sturingsmiddelen die </w:t>
      </w:r>
      <w:r w:rsidR="005A267C">
        <w:rPr>
          <w:lang w:val="nl-NL"/>
        </w:rPr>
        <w:t>ons</w:t>
      </w:r>
      <w:r w:rsidR="005A267C" w:rsidRPr="007A0343">
        <w:rPr>
          <w:lang w:val="nl-NL"/>
        </w:rPr>
        <w:t xml:space="preserve"> </w:t>
      </w:r>
      <w:r w:rsidRPr="007A0343">
        <w:rPr>
          <w:lang w:val="nl-NL"/>
        </w:rPr>
        <w:t>fonds ter beschikking staan, zijn het premie-, toeslag-</w:t>
      </w:r>
      <w:r w:rsidR="00352524">
        <w:rPr>
          <w:lang w:val="nl-NL"/>
        </w:rPr>
        <w:t xml:space="preserve"> beleggings- en kortingsbeleid.</w:t>
      </w:r>
    </w:p>
    <w:p w14:paraId="44B88806" w14:textId="77777777" w:rsidR="00352524" w:rsidRPr="007A0343" w:rsidRDefault="00352524" w:rsidP="007A0343">
      <w:pPr>
        <w:rPr>
          <w:lang w:val="nl-NL"/>
        </w:rPr>
      </w:pPr>
    </w:p>
    <w:p w14:paraId="76472565" w14:textId="77777777" w:rsidR="007A0343" w:rsidRPr="007A0343" w:rsidRDefault="007A0343" w:rsidP="00352524">
      <w:pPr>
        <w:pStyle w:val="Kop3"/>
        <w:spacing w:after="240"/>
        <w:rPr>
          <w:rFonts w:hint="eastAsia"/>
          <w:lang w:val="nl-NL"/>
        </w:rPr>
      </w:pPr>
      <w:bookmarkStart w:id="41" w:name="_Toc231804767"/>
      <w:r w:rsidRPr="007A0343">
        <w:rPr>
          <w:lang w:val="nl-NL"/>
        </w:rPr>
        <w:t>Premiebeleid</w:t>
      </w:r>
      <w:bookmarkEnd w:id="41"/>
    </w:p>
    <w:p w14:paraId="0187D47A" w14:textId="63DC6136" w:rsidR="007A0343" w:rsidRDefault="007A0343" w:rsidP="007A0343">
      <w:pPr>
        <w:rPr>
          <w:lang w:val="nl-NL"/>
        </w:rPr>
      </w:pPr>
      <w:r w:rsidRPr="007A0343">
        <w:rPr>
          <w:lang w:val="nl-NL"/>
        </w:rPr>
        <w:t xml:space="preserve">Gezien het CDC-karakter van </w:t>
      </w:r>
      <w:r w:rsidR="005A267C">
        <w:rPr>
          <w:lang w:val="nl-NL"/>
        </w:rPr>
        <w:t>ons fonds</w:t>
      </w:r>
      <w:r w:rsidRPr="007A0343">
        <w:rPr>
          <w:lang w:val="nl-NL"/>
        </w:rPr>
        <w:t xml:space="preserve"> is het pr</w:t>
      </w:r>
      <w:r w:rsidR="00352524">
        <w:rPr>
          <w:lang w:val="nl-NL"/>
        </w:rPr>
        <w:t>emiebeleid geen sturingsmiddel.</w:t>
      </w:r>
    </w:p>
    <w:p w14:paraId="52EEF5C1" w14:textId="77777777" w:rsidR="00352524" w:rsidRPr="007A0343" w:rsidRDefault="00352524" w:rsidP="007A0343">
      <w:pPr>
        <w:rPr>
          <w:lang w:val="nl-NL"/>
        </w:rPr>
      </w:pPr>
    </w:p>
    <w:p w14:paraId="3456D81D" w14:textId="77777777" w:rsidR="007A0343" w:rsidRPr="007A0343" w:rsidRDefault="007A0343" w:rsidP="00352524">
      <w:pPr>
        <w:pStyle w:val="Kop3"/>
        <w:spacing w:after="240"/>
        <w:rPr>
          <w:rFonts w:hint="eastAsia"/>
          <w:lang w:val="nl-NL"/>
        </w:rPr>
      </w:pPr>
      <w:bookmarkStart w:id="42" w:name="_Toc231804768"/>
      <w:r w:rsidRPr="007A0343">
        <w:rPr>
          <w:lang w:val="nl-NL"/>
        </w:rPr>
        <w:lastRenderedPageBreak/>
        <w:t>Toeslagbeleid</w:t>
      </w:r>
      <w:bookmarkEnd w:id="42"/>
    </w:p>
    <w:p w14:paraId="02AD9E2A" w14:textId="188A532C" w:rsidR="007A0343" w:rsidRPr="007A0343" w:rsidRDefault="005A267C" w:rsidP="007A0343">
      <w:pPr>
        <w:rPr>
          <w:lang w:val="nl-NL"/>
        </w:rPr>
      </w:pPr>
      <w:r>
        <w:rPr>
          <w:lang w:val="nl-NL"/>
        </w:rPr>
        <w:t>Ons fonds</w:t>
      </w:r>
      <w:r w:rsidR="007A0343" w:rsidRPr="007A0343">
        <w:rPr>
          <w:lang w:val="nl-NL"/>
        </w:rPr>
        <w:t xml:space="preserve"> streeft naar het verlenen van toeslagen aan haar deelnemers. De maatstaf voor toeslagverlening betreft de CBS prijsindex alle inkomens afgeleid van oktober in het voorafgaande boekjaar tot oktober in het lopende boekjaar. Indien wordt besloten tot (gedeeltelijke) toeslagverlening, dan wordt deze verleend per 1 januari van het komende jaar. </w:t>
      </w:r>
    </w:p>
    <w:p w14:paraId="59996BA0" w14:textId="77777777" w:rsidR="007A0343" w:rsidRPr="007A0343" w:rsidRDefault="007A0343" w:rsidP="007A0343">
      <w:pPr>
        <w:rPr>
          <w:lang w:val="nl-NL"/>
        </w:rPr>
      </w:pPr>
    </w:p>
    <w:p w14:paraId="6DC2C612" w14:textId="0DA590CF" w:rsidR="007A0343" w:rsidRPr="007A0343" w:rsidRDefault="007A0343" w:rsidP="007A0343">
      <w:pPr>
        <w:rPr>
          <w:lang w:val="nl-NL"/>
        </w:rPr>
      </w:pPr>
      <w:r w:rsidRPr="007A0343">
        <w:rPr>
          <w:lang w:val="nl-NL"/>
        </w:rPr>
        <w:t xml:space="preserve">In het vierde kwartaal van het lopende boekjaar neemt het bestuur een besluit omtrent de toeslagverlening voor het lopende boekjaar. </w:t>
      </w:r>
      <w:r w:rsidR="00780EE5">
        <w:rPr>
          <w:lang w:val="nl-NL"/>
        </w:rPr>
        <w:t xml:space="preserve">Leidend hierbij is de beleidsdekkingsgraad per eind september, dus de gemiddelde dekkingsgraad over de 12 maanden ervoor. </w:t>
      </w:r>
      <w:r w:rsidRPr="007A0343">
        <w:rPr>
          <w:lang w:val="nl-NL"/>
        </w:rPr>
        <w:t>Indien de beleidsdekkingsgraad per eind september gelijk of lager dan 1</w:t>
      </w:r>
      <w:r w:rsidR="00BD5D49">
        <w:rPr>
          <w:lang w:val="nl-NL"/>
        </w:rPr>
        <w:t>05</w:t>
      </w:r>
      <w:r w:rsidRPr="007A0343">
        <w:rPr>
          <w:lang w:val="nl-NL"/>
        </w:rPr>
        <w:t>% is, dan zal het bestuur besluiten om geen toeslag te verlenen.</w:t>
      </w:r>
    </w:p>
    <w:p w14:paraId="6435956D" w14:textId="77777777" w:rsidR="007A0343" w:rsidRPr="007A0343" w:rsidRDefault="007A0343" w:rsidP="007A0343">
      <w:pPr>
        <w:rPr>
          <w:lang w:val="nl-NL"/>
        </w:rPr>
      </w:pPr>
    </w:p>
    <w:p w14:paraId="4F35BEC5" w14:textId="72D18A06" w:rsidR="00BD5D49" w:rsidRDefault="007A0343" w:rsidP="00151E60">
      <w:pPr>
        <w:rPr>
          <w:lang w:val="nl-NL"/>
        </w:rPr>
      </w:pPr>
      <w:r w:rsidRPr="007A0343">
        <w:rPr>
          <w:lang w:val="nl-NL"/>
        </w:rPr>
        <w:t>Indien de beleidsdekkingsgraad per eind september hoger is dan 1</w:t>
      </w:r>
      <w:r w:rsidR="00BD5D49">
        <w:rPr>
          <w:lang w:val="nl-NL"/>
        </w:rPr>
        <w:t>05</w:t>
      </w:r>
      <w:r w:rsidRPr="007A0343">
        <w:rPr>
          <w:lang w:val="nl-NL"/>
        </w:rPr>
        <w:t xml:space="preserve">%, zal het bestuur in beginsel besluiten om toeslag te verlenen op basis van </w:t>
      </w:r>
      <w:r w:rsidR="006F060E" w:rsidRPr="006F060E">
        <w:t>artikel 150p Pensioenwet</w:t>
      </w:r>
      <w:r w:rsidR="006F060E">
        <w:t xml:space="preserve">. Op grond van dit artikel heeft ons fonds eind maart 2026 een overbruggingsplan ingediend bij DNB. </w:t>
      </w:r>
    </w:p>
    <w:p w14:paraId="7F16E132" w14:textId="77777777" w:rsidR="00BD5D49" w:rsidRDefault="00BD5D49" w:rsidP="00151E60">
      <w:pPr>
        <w:rPr>
          <w:lang w:val="nl-NL"/>
        </w:rPr>
      </w:pPr>
    </w:p>
    <w:p w14:paraId="2B58CCAF" w14:textId="4B916D5B" w:rsidR="00151E60" w:rsidRPr="00F37ABD" w:rsidRDefault="00151E60" w:rsidP="00151E60">
      <w:pPr>
        <w:rPr>
          <w:i/>
          <w:iCs/>
          <w:lang w:val="nl-NL"/>
        </w:rPr>
      </w:pPr>
      <w:r w:rsidRPr="001A4CB4">
        <w:rPr>
          <w:lang w:val="nl-NL"/>
        </w:rPr>
        <w:t xml:space="preserve">Indien de prijsindex negatief is, zal </w:t>
      </w:r>
      <w:r w:rsidR="00FB2D13">
        <w:rPr>
          <w:lang w:val="nl-NL"/>
        </w:rPr>
        <w:t>ons</w:t>
      </w:r>
      <w:r w:rsidR="00FB2D13" w:rsidRPr="001A4CB4">
        <w:rPr>
          <w:lang w:val="nl-NL"/>
        </w:rPr>
        <w:t xml:space="preserve"> </w:t>
      </w:r>
      <w:r w:rsidRPr="001A4CB4">
        <w:rPr>
          <w:lang w:val="nl-NL"/>
        </w:rPr>
        <w:t xml:space="preserve">fonds geen toeslag verlenen. De gemiste negatieve toeslag zal worden geadministreerd, op dezelfde wijze waarop </w:t>
      </w:r>
      <w:r w:rsidR="00FB2D13">
        <w:rPr>
          <w:lang w:val="nl-NL"/>
        </w:rPr>
        <w:t>ons</w:t>
      </w:r>
      <w:r w:rsidR="00FB2D13" w:rsidRPr="001A4CB4">
        <w:rPr>
          <w:lang w:val="nl-NL"/>
        </w:rPr>
        <w:t xml:space="preserve"> </w:t>
      </w:r>
      <w:r w:rsidRPr="001A4CB4">
        <w:rPr>
          <w:lang w:val="nl-NL"/>
        </w:rPr>
        <w:t>fonds gemiste positieve toeslagen administreert.</w:t>
      </w:r>
      <w:r>
        <w:rPr>
          <w:i/>
          <w:iCs/>
          <w:lang w:val="nl-NL"/>
        </w:rPr>
        <w:t xml:space="preserve"> </w:t>
      </w:r>
    </w:p>
    <w:p w14:paraId="76B25E38" w14:textId="08B1168A" w:rsidR="007A0343" w:rsidRPr="007A0343" w:rsidRDefault="007A0343" w:rsidP="007A0343">
      <w:pPr>
        <w:rPr>
          <w:lang w:val="nl-NL"/>
        </w:rPr>
      </w:pPr>
    </w:p>
    <w:p w14:paraId="236480D8" w14:textId="77777777" w:rsidR="007A0343" w:rsidRPr="007A0343" w:rsidRDefault="007A0343" w:rsidP="007A0343">
      <w:pPr>
        <w:rPr>
          <w:lang w:val="nl-NL"/>
        </w:rPr>
      </w:pPr>
      <w:r w:rsidRPr="007A0343">
        <w:rPr>
          <w:lang w:val="nl-NL"/>
        </w:rPr>
        <w:t xml:space="preserve">Indien het bestuur in het vierde kwartaal besluit tot (gedeeltelijke) toeslagverlening over te gaan, dan behoudt het bestuur zich het recht voor om uiterlijk 15 januari van het nieuwe boekjaar te beslissen om alsnog geen dan wel minder toeslag te verlenen indien in de periode tussen eind september van het lopende boekjaar en het moment van toekenning (1 januari) de financiële positie of financiële vooruitzichten van </w:t>
      </w:r>
      <w:r w:rsidR="001B2EC0">
        <w:rPr>
          <w:lang w:val="nl-NL"/>
        </w:rPr>
        <w:t>het fonds</w:t>
      </w:r>
      <w:r w:rsidRPr="007A0343">
        <w:rPr>
          <w:lang w:val="nl-NL"/>
        </w:rPr>
        <w:t xml:space="preserve"> ernstig is verslechterd. </w:t>
      </w:r>
    </w:p>
    <w:p w14:paraId="61AFB2D6" w14:textId="77777777" w:rsidR="007A0343" w:rsidRPr="007A0343" w:rsidRDefault="007A0343" w:rsidP="007A0343">
      <w:pPr>
        <w:rPr>
          <w:lang w:val="nl-NL"/>
        </w:rPr>
      </w:pPr>
    </w:p>
    <w:p w14:paraId="5FBB63E2" w14:textId="77777777" w:rsidR="00132FDE" w:rsidRDefault="00132FDE" w:rsidP="007A0343">
      <w:pPr>
        <w:rPr>
          <w:lang w:val="nl-NL"/>
        </w:rPr>
      </w:pPr>
    </w:p>
    <w:p w14:paraId="32F3AE58" w14:textId="58889C79" w:rsidR="00132FDE" w:rsidRPr="007A0343" w:rsidRDefault="00132FDE" w:rsidP="007A0343">
      <w:pPr>
        <w:rPr>
          <w:lang w:val="nl-NL"/>
        </w:rPr>
      </w:pPr>
      <w:r>
        <w:rPr>
          <w:lang w:val="nl-NL"/>
        </w:rPr>
        <w:t xml:space="preserve">Indien </w:t>
      </w:r>
      <w:r w:rsidR="007A5484">
        <w:rPr>
          <w:lang w:val="nl-NL"/>
        </w:rPr>
        <w:t xml:space="preserve">ons </w:t>
      </w:r>
      <w:r>
        <w:rPr>
          <w:lang w:val="nl-NL"/>
        </w:rPr>
        <w:t xml:space="preserve">fonds besluit om niet tot (volledige) toeslagverlening over te gaan, wordt de gemiste toeslag geadministreerd, opdat deze eventueel in de toekomst alsnog kan worden verleend, met inachtneming </w:t>
      </w:r>
      <w:r w:rsidRPr="007A0343">
        <w:rPr>
          <w:lang w:val="nl-NL"/>
        </w:rPr>
        <w:t>van de regels voor toekomstbestendige toeslagverlening in het Besluit financieel toetsingskader voor pensioenfondsen</w:t>
      </w:r>
      <w:r w:rsidR="00FB7DB6">
        <w:rPr>
          <w:lang w:val="nl-NL"/>
        </w:rPr>
        <w:t>.</w:t>
      </w:r>
    </w:p>
    <w:p w14:paraId="49742642" w14:textId="77777777" w:rsidR="007A0343" w:rsidRPr="007A0343" w:rsidRDefault="007A0343" w:rsidP="007A0343">
      <w:pPr>
        <w:rPr>
          <w:lang w:val="nl-NL"/>
        </w:rPr>
      </w:pPr>
    </w:p>
    <w:p w14:paraId="07EC85FA" w14:textId="77777777" w:rsidR="007A0343" w:rsidRPr="00352524" w:rsidRDefault="007A0343" w:rsidP="007A0343">
      <w:pPr>
        <w:rPr>
          <w:i/>
          <w:lang w:val="nl-NL"/>
        </w:rPr>
      </w:pPr>
      <w:r w:rsidRPr="00352524">
        <w:rPr>
          <w:i/>
          <w:lang w:val="nl-NL"/>
        </w:rPr>
        <w:t>Voorwaardelijkheidsverklaring</w:t>
      </w:r>
    </w:p>
    <w:p w14:paraId="17DC6CB0" w14:textId="77777777" w:rsidR="007A0343" w:rsidRPr="007A0343" w:rsidRDefault="007A0343" w:rsidP="007A0343">
      <w:pPr>
        <w:rPr>
          <w:lang w:val="nl-NL"/>
        </w:rPr>
      </w:pPr>
      <w:r w:rsidRPr="007A0343">
        <w:rPr>
          <w:lang w:val="nl-NL"/>
        </w:rPr>
        <w:t xml:space="preserve">De voorwaardelijkheidsverklaring luidt als volgt: </w:t>
      </w:r>
    </w:p>
    <w:p w14:paraId="7E425D7F" w14:textId="77777777" w:rsidR="007A0343" w:rsidRPr="007A0343" w:rsidRDefault="007A0343" w:rsidP="007A0343">
      <w:pPr>
        <w:rPr>
          <w:lang w:val="nl-NL"/>
        </w:rPr>
      </w:pPr>
    </w:p>
    <w:p w14:paraId="5309CEDE" w14:textId="0BE7A40E" w:rsidR="007A0343" w:rsidRPr="007A0343" w:rsidRDefault="007A0343" w:rsidP="007A0343">
      <w:pPr>
        <w:rPr>
          <w:lang w:val="nl-NL"/>
        </w:rPr>
      </w:pPr>
      <w:r w:rsidRPr="007A0343">
        <w:rPr>
          <w:lang w:val="nl-NL"/>
        </w:rPr>
        <w:t>"</w:t>
      </w:r>
      <w:r w:rsidR="007A5484">
        <w:rPr>
          <w:lang w:val="nl-NL"/>
        </w:rPr>
        <w:t>Ons</w:t>
      </w:r>
      <w:r w:rsidRPr="007A0343">
        <w:rPr>
          <w:lang w:val="nl-NL"/>
        </w:rPr>
        <w:t xml:space="preserve"> fonds probeert ieder jaar de pensioenrechten en pensioenaanspraken te verhogen via het verlenen van toeslagen. Of en zo ja in welke mate een toeslag kan worden verleend, is afhankelijk van het voor toeslagverlening beschikbare vermogen boven de beleidsdekkingsgraad van 110%. Daarbij wordt rekening gehouden met de wettelijke regels over voorwaardelijke toeslagverlening en eventuele aanwijzingen van DNB. Er is geen reserve voor toeslagverlening.”</w:t>
      </w:r>
    </w:p>
    <w:p w14:paraId="3A51ECB2" w14:textId="77777777" w:rsidR="007A0343" w:rsidRPr="007A0343" w:rsidRDefault="007A0343" w:rsidP="007A0343">
      <w:pPr>
        <w:rPr>
          <w:lang w:val="nl-NL"/>
        </w:rPr>
      </w:pPr>
    </w:p>
    <w:p w14:paraId="77C81F03" w14:textId="08B772F3" w:rsidR="00212974" w:rsidRDefault="00212974" w:rsidP="007A0343">
      <w:pPr>
        <w:rPr>
          <w:i/>
          <w:lang w:val="nl-NL"/>
        </w:rPr>
      </w:pPr>
    </w:p>
    <w:p w14:paraId="1458406F" w14:textId="77777777" w:rsidR="00212974" w:rsidRDefault="00212974" w:rsidP="00212974">
      <w:pPr>
        <w:rPr>
          <w:i/>
          <w:iCs/>
          <w:lang w:val="nl-NL"/>
        </w:rPr>
      </w:pPr>
      <w:r>
        <w:rPr>
          <w:i/>
          <w:iCs/>
          <w:lang w:val="nl-NL"/>
        </w:rPr>
        <w:t>Verlenen extra toeslag en/of inhalen opbouwkorting</w:t>
      </w:r>
    </w:p>
    <w:p w14:paraId="18ACA264" w14:textId="77777777" w:rsidR="00212974" w:rsidRDefault="00212974" w:rsidP="00212974">
      <w:pPr>
        <w:rPr>
          <w:i/>
          <w:iCs/>
          <w:lang w:val="nl-NL"/>
        </w:rPr>
      </w:pPr>
    </w:p>
    <w:p w14:paraId="31DE956B" w14:textId="590C3983" w:rsidR="00212974" w:rsidRPr="00F13136" w:rsidRDefault="00212974" w:rsidP="00212974">
      <w:pPr>
        <w:rPr>
          <w:lang w:val="nl-NL"/>
        </w:rPr>
      </w:pPr>
      <w:r w:rsidRPr="00F13136">
        <w:rPr>
          <w:lang w:val="nl-NL"/>
        </w:rPr>
        <w:t xml:space="preserve">Indien de beleidsdekkingsgraad van </w:t>
      </w:r>
      <w:r w:rsidR="007A5484">
        <w:rPr>
          <w:lang w:val="nl-NL"/>
        </w:rPr>
        <w:t>ons</w:t>
      </w:r>
      <w:r w:rsidR="007A5484" w:rsidRPr="00F13136">
        <w:rPr>
          <w:lang w:val="nl-NL"/>
        </w:rPr>
        <w:t xml:space="preserve"> </w:t>
      </w:r>
      <w:r w:rsidRPr="00F13136">
        <w:rPr>
          <w:lang w:val="nl-NL"/>
        </w:rPr>
        <w:t xml:space="preserve">fonds per eind september zodanig is dat volgens de regels voor toekomstbestendige toeslagverlening alle toekomstige pensioenaanspraken en –rechten volledig kunnen worden geïndexeerd, dan zal het bestuur van </w:t>
      </w:r>
      <w:r w:rsidR="00E106FE">
        <w:rPr>
          <w:lang w:val="nl-NL"/>
        </w:rPr>
        <w:t>ons</w:t>
      </w:r>
      <w:r w:rsidR="00E106FE" w:rsidRPr="00F13136">
        <w:rPr>
          <w:lang w:val="nl-NL"/>
        </w:rPr>
        <w:t xml:space="preserve"> </w:t>
      </w:r>
      <w:r w:rsidRPr="00F13136">
        <w:rPr>
          <w:lang w:val="nl-NL"/>
        </w:rPr>
        <w:t>fonds in het vierde kwartaal van het lopende boekjaar in beginsel overgaan tot het toekennen van extra toeslag en/of het inhalen van opbouwkortingen per 1 januari van het komende boekjaar. Hierbij zal de meest recente opbouwkorting en/of de meest recente gemiste toeslag als eerste worden ingehaald.</w:t>
      </w:r>
    </w:p>
    <w:p w14:paraId="43170176" w14:textId="77777777" w:rsidR="00212974" w:rsidRPr="00F13136" w:rsidRDefault="00212974" w:rsidP="00212974">
      <w:pPr>
        <w:rPr>
          <w:lang w:val="nl-NL"/>
        </w:rPr>
      </w:pPr>
    </w:p>
    <w:p w14:paraId="649FF2AB" w14:textId="45073872" w:rsidR="00212974" w:rsidRPr="00F13136" w:rsidRDefault="00212974" w:rsidP="00212974">
      <w:pPr>
        <w:rPr>
          <w:lang w:val="nl-NL"/>
        </w:rPr>
      </w:pPr>
      <w:r w:rsidRPr="00F13136">
        <w:rPr>
          <w:lang w:val="nl-NL"/>
        </w:rPr>
        <w:lastRenderedPageBreak/>
        <w:t xml:space="preserve">Het bestuur zal een evenwichtige afweging maken tussen (het beschikbaar stellen van budget voor) het verlenen van extra toeslagen enerzijds en het inhalen van opbouwkortingen anderzijds. </w:t>
      </w:r>
      <w:r w:rsidR="00E106FE">
        <w:rPr>
          <w:lang w:val="nl-NL"/>
        </w:rPr>
        <w:t>Ons</w:t>
      </w:r>
      <w:r w:rsidR="00E106FE" w:rsidRPr="00F13136">
        <w:rPr>
          <w:lang w:val="nl-NL"/>
        </w:rPr>
        <w:t xml:space="preserve"> </w:t>
      </w:r>
      <w:r w:rsidRPr="00F13136">
        <w:rPr>
          <w:lang w:val="nl-NL"/>
        </w:rPr>
        <w:t>fonds dient hierbij ook rekening te houden met fiscale aspecten.</w:t>
      </w:r>
    </w:p>
    <w:p w14:paraId="672D6C0D" w14:textId="77777777" w:rsidR="00212974" w:rsidRPr="00F13136" w:rsidRDefault="00212974" w:rsidP="00212974">
      <w:pPr>
        <w:rPr>
          <w:lang w:val="nl-NL"/>
        </w:rPr>
      </w:pPr>
    </w:p>
    <w:p w14:paraId="54971812" w14:textId="7535C062" w:rsidR="00212974" w:rsidRPr="00F13136" w:rsidRDefault="00212974" w:rsidP="00212974">
      <w:pPr>
        <w:rPr>
          <w:lang w:val="nl-NL"/>
        </w:rPr>
      </w:pPr>
      <w:r w:rsidRPr="00F13136">
        <w:rPr>
          <w:lang w:val="nl-NL"/>
        </w:rPr>
        <w:t>Indien het bestuur in het vierde kwartaal besluit tot het verlenen van extra toeslag of het inhalen van opbouwkortingen, dan behoudt het bestuur zich het recht voor om uiterlijk 15 januari van het nieuwe boekjaar te beslissen om alsnog geen, dan wel minder extra toeslag te verlenen indien in de periode tussen eind september van het lopende boekjaar en het moment van toekenning (1 januari van het komende boekjaar) de financiële positie of financiële vooruitzichten van het fonds ernstig is verslechterd.</w:t>
      </w:r>
    </w:p>
    <w:p w14:paraId="61484848" w14:textId="77777777" w:rsidR="00212974" w:rsidRPr="00352524" w:rsidRDefault="00212974" w:rsidP="007A0343">
      <w:pPr>
        <w:rPr>
          <w:i/>
          <w:lang w:val="nl-NL"/>
        </w:rPr>
      </w:pPr>
    </w:p>
    <w:p w14:paraId="1BB62BF6" w14:textId="77777777" w:rsidR="007A0343" w:rsidRPr="007A0343" w:rsidRDefault="007A0343" w:rsidP="00352524">
      <w:pPr>
        <w:pStyle w:val="Kop3"/>
        <w:spacing w:after="240"/>
        <w:rPr>
          <w:rFonts w:hint="eastAsia"/>
          <w:lang w:val="nl-NL"/>
        </w:rPr>
      </w:pPr>
      <w:bookmarkStart w:id="43" w:name="_Toc231804769"/>
      <w:r w:rsidRPr="007A0343">
        <w:rPr>
          <w:lang w:val="nl-NL"/>
        </w:rPr>
        <w:t>Beleggingsbeleid</w:t>
      </w:r>
      <w:bookmarkEnd w:id="43"/>
    </w:p>
    <w:p w14:paraId="36C12F8B" w14:textId="410D4FCC" w:rsidR="007A0343" w:rsidRDefault="007A0343" w:rsidP="007A0343">
      <w:pPr>
        <w:rPr>
          <w:lang w:val="nl-NL"/>
        </w:rPr>
      </w:pPr>
      <w:r w:rsidRPr="007A0343">
        <w:rPr>
          <w:lang w:val="nl-NL"/>
        </w:rPr>
        <w:t xml:space="preserve">In hoofdstuk 10 is het strategisch beleggingsbeleid beschreven. De risico’s die in de beleggingssfeer worden genomen, hangen in principe niet af van de dekkingsgraad van </w:t>
      </w:r>
      <w:r w:rsidR="007E1AAB">
        <w:rPr>
          <w:lang w:val="nl-NL"/>
        </w:rPr>
        <w:t>ons</w:t>
      </w:r>
      <w:r w:rsidR="007E1AAB" w:rsidRPr="007A0343">
        <w:rPr>
          <w:lang w:val="nl-NL"/>
        </w:rPr>
        <w:t xml:space="preserve"> </w:t>
      </w:r>
      <w:r w:rsidRPr="007A0343">
        <w:rPr>
          <w:lang w:val="nl-NL"/>
        </w:rPr>
        <w:t>fonds</w:t>
      </w:r>
      <w:r w:rsidR="000971EB">
        <w:rPr>
          <w:lang w:val="nl-NL"/>
        </w:rPr>
        <w:t>, met uitzondering van het niveau van de renteafdekking</w:t>
      </w:r>
      <w:r w:rsidRPr="007A0343">
        <w:rPr>
          <w:lang w:val="nl-NL"/>
        </w:rPr>
        <w:t>. Het strategisch beleggingsbeleid is gericht op de lange termijn. In een (potenti</w:t>
      </w:r>
      <w:r w:rsidR="00780EE5">
        <w:rPr>
          <w:lang w:val="nl-NL"/>
        </w:rPr>
        <w:t>ë</w:t>
      </w:r>
      <w:r w:rsidRPr="007A0343">
        <w:rPr>
          <w:lang w:val="nl-NL"/>
        </w:rPr>
        <w:t>le) crisissituatie kan het bestuur besluiten om het beleggingsrisico te reduceren indien de (financiële) positie daartoe aanleiding geeft. In het financieel crisisplan (Bijlage 6) is dit nader beschreven. Indien sprake is van een reservetekort is het niet toegestaan om het beleggingsrisico te verhogen ten opzichte van het niveau dat behoort bij het strategisch beleggingsbeleid dat van toepassing was op het moment v</w:t>
      </w:r>
      <w:r w:rsidR="00352524">
        <w:rPr>
          <w:lang w:val="nl-NL"/>
        </w:rPr>
        <w:t>an het ontstaan van het tekort.</w:t>
      </w:r>
    </w:p>
    <w:p w14:paraId="2C49C3A9" w14:textId="77777777" w:rsidR="00352524" w:rsidRPr="007A0343" w:rsidRDefault="00352524" w:rsidP="007A0343">
      <w:pPr>
        <w:rPr>
          <w:lang w:val="nl-NL"/>
        </w:rPr>
      </w:pPr>
    </w:p>
    <w:p w14:paraId="24E3EDE8" w14:textId="77777777" w:rsidR="007A0343" w:rsidRPr="007A0343" w:rsidRDefault="007A0343" w:rsidP="00352524">
      <w:pPr>
        <w:pStyle w:val="Kop3"/>
        <w:spacing w:after="240"/>
        <w:rPr>
          <w:rFonts w:hint="eastAsia"/>
          <w:lang w:val="nl-NL"/>
        </w:rPr>
      </w:pPr>
      <w:bookmarkStart w:id="44" w:name="_Toc231804770"/>
      <w:r w:rsidRPr="007A0343">
        <w:rPr>
          <w:lang w:val="nl-NL"/>
        </w:rPr>
        <w:t>Kortingsbeleid</w:t>
      </w:r>
      <w:bookmarkEnd w:id="44"/>
    </w:p>
    <w:p w14:paraId="572AAA02" w14:textId="36BB0B8B" w:rsidR="007A0343" w:rsidRPr="007A0343" w:rsidRDefault="007A0343" w:rsidP="007A0343">
      <w:pPr>
        <w:rPr>
          <w:lang w:val="nl-NL"/>
        </w:rPr>
      </w:pPr>
      <w:r w:rsidRPr="007A0343">
        <w:rPr>
          <w:lang w:val="nl-NL"/>
        </w:rPr>
        <w:t xml:space="preserve">Onder kortingsbeleid verstaat </w:t>
      </w:r>
      <w:r w:rsidR="006601E2">
        <w:rPr>
          <w:lang w:val="nl-NL"/>
        </w:rPr>
        <w:t>ons fonds</w:t>
      </w:r>
      <w:r w:rsidRPr="007A0343">
        <w:rPr>
          <w:lang w:val="nl-NL"/>
        </w:rPr>
        <w:t xml:space="preserve"> het beleid omtrent het verminderen van pensioenrechten en –aanspraken (“rechtenkorting”) als gevolg van een dekkings- of reservetekort en het beleid inzake het verlagen van het pensioenopbouw-percentage in enig jaar als gevolg van een niet-kostendekkende premie in dat jaar (“opbouwkorting”). </w:t>
      </w:r>
    </w:p>
    <w:p w14:paraId="1AC8E891" w14:textId="77777777" w:rsidR="007A0343" w:rsidRPr="007A0343" w:rsidRDefault="007A0343" w:rsidP="007A0343">
      <w:pPr>
        <w:rPr>
          <w:lang w:val="nl-NL"/>
        </w:rPr>
      </w:pPr>
    </w:p>
    <w:p w14:paraId="288ED459" w14:textId="77777777" w:rsidR="007A0343" w:rsidRPr="00352524" w:rsidRDefault="007A0343" w:rsidP="007A0343">
      <w:pPr>
        <w:rPr>
          <w:i/>
          <w:lang w:val="nl-NL"/>
        </w:rPr>
      </w:pPr>
      <w:r w:rsidRPr="00352524">
        <w:rPr>
          <w:i/>
          <w:lang w:val="nl-NL"/>
        </w:rPr>
        <w:t>Rechtenkorting</w:t>
      </w:r>
    </w:p>
    <w:p w14:paraId="0A7533BA" w14:textId="77777777" w:rsidR="003E46D8" w:rsidRDefault="003E46D8" w:rsidP="007A0343">
      <w:pPr>
        <w:rPr>
          <w:lang w:val="nl-NL"/>
        </w:rPr>
      </w:pPr>
    </w:p>
    <w:p w14:paraId="4D4E0E6F" w14:textId="77777777" w:rsidR="007A0343" w:rsidRPr="007A0343" w:rsidRDefault="007A0343" w:rsidP="007A0343">
      <w:pPr>
        <w:rPr>
          <w:lang w:val="nl-NL"/>
        </w:rPr>
      </w:pPr>
      <w:r w:rsidRPr="007A0343">
        <w:rPr>
          <w:lang w:val="nl-NL"/>
        </w:rPr>
        <w:t xml:space="preserve">Bij het doorvoeren van een vermindering van reeds toegekende pensioenaanspraken en – rechten in verband met een dekkings- of reservetekort, zullen de pensioenaanspraken en – rechten naar evenredigheid van de hoogte van de pensioenrechten en – aanspraken worden verlaagd. Er wordt hierbij geen onderscheid gemaakt tussen de verschillende deelnemers. </w:t>
      </w:r>
    </w:p>
    <w:p w14:paraId="468C8414" w14:textId="77777777" w:rsidR="007A0343" w:rsidRPr="007A0343" w:rsidRDefault="007A0343" w:rsidP="007A0343">
      <w:pPr>
        <w:rPr>
          <w:lang w:val="nl-NL"/>
        </w:rPr>
      </w:pPr>
    </w:p>
    <w:p w14:paraId="17B3BF3F" w14:textId="3F7F15F9" w:rsidR="00352524" w:rsidRDefault="007A0343" w:rsidP="001E699B">
      <w:pPr>
        <w:pStyle w:val="Lijstalinea"/>
        <w:numPr>
          <w:ilvl w:val="0"/>
          <w:numId w:val="21"/>
        </w:numPr>
        <w:rPr>
          <w:lang w:val="nl-NL"/>
        </w:rPr>
      </w:pPr>
      <w:r w:rsidRPr="00352524">
        <w:rPr>
          <w:u w:val="single"/>
          <w:lang w:val="nl-NL"/>
        </w:rPr>
        <w:t>Beleidsdekkingsgraad lager dan minimaal vereist eigen vermogen</w:t>
      </w:r>
      <w:r w:rsidR="00352524" w:rsidRPr="00352524">
        <w:rPr>
          <w:u w:val="single"/>
          <w:lang w:val="nl-NL"/>
        </w:rPr>
        <w:br/>
      </w:r>
      <w:r w:rsidR="00352524" w:rsidRPr="00352524">
        <w:rPr>
          <w:u w:val="single"/>
          <w:lang w:val="nl-NL"/>
        </w:rPr>
        <w:br/>
      </w:r>
      <w:r w:rsidRPr="00352524">
        <w:rPr>
          <w:lang w:val="nl-NL"/>
        </w:rPr>
        <w:t xml:space="preserve">Indien de beleidsdekkingsgraad van </w:t>
      </w:r>
      <w:r w:rsidR="006601E2">
        <w:rPr>
          <w:lang w:val="nl-NL"/>
        </w:rPr>
        <w:t xml:space="preserve">ons </w:t>
      </w:r>
      <w:r w:rsidR="001B2EC0">
        <w:rPr>
          <w:lang w:val="nl-NL"/>
        </w:rPr>
        <w:t>fonds</w:t>
      </w:r>
      <w:r w:rsidRPr="00352524">
        <w:rPr>
          <w:lang w:val="nl-NL"/>
        </w:rPr>
        <w:t xml:space="preserve"> gedurende vijf kalenderjaren lager is dan de minimaal vereiste dekkingsgraad en ook de actuele dekkingsgraad na vijf jaren lager is dan de minimaal vereiste dekkingsgraad, dan moet </w:t>
      </w:r>
      <w:r w:rsidR="006601E2">
        <w:rPr>
          <w:lang w:val="nl-NL"/>
        </w:rPr>
        <w:t xml:space="preserve">ons </w:t>
      </w:r>
      <w:r w:rsidR="001B2EC0">
        <w:rPr>
          <w:lang w:val="nl-NL"/>
        </w:rPr>
        <w:t>fonds</w:t>
      </w:r>
      <w:r w:rsidRPr="00352524">
        <w:rPr>
          <w:lang w:val="nl-NL"/>
        </w:rPr>
        <w:t xml:space="preserve"> op grond van het </w:t>
      </w:r>
      <w:r w:rsidR="00780EE5">
        <w:rPr>
          <w:lang w:val="nl-NL"/>
        </w:rPr>
        <w:t>F</w:t>
      </w:r>
      <w:r w:rsidRPr="00352524">
        <w:rPr>
          <w:lang w:val="nl-NL"/>
        </w:rPr>
        <w:t xml:space="preserve">inancieel </w:t>
      </w:r>
      <w:r w:rsidR="00780EE5">
        <w:rPr>
          <w:lang w:val="nl-NL"/>
        </w:rPr>
        <w:t>T</w:t>
      </w:r>
      <w:r w:rsidRPr="00352524">
        <w:rPr>
          <w:lang w:val="nl-NL"/>
        </w:rPr>
        <w:t xml:space="preserve">oetsingskader voor pensioenfondsen een vermindering van pensioenaanspraken en -rechten doorvoeren die zodanig is dat de actuele dekkingsgraad van </w:t>
      </w:r>
      <w:r w:rsidR="006601E2">
        <w:rPr>
          <w:lang w:val="nl-NL"/>
        </w:rPr>
        <w:t xml:space="preserve">ons </w:t>
      </w:r>
      <w:r w:rsidR="001B2EC0">
        <w:rPr>
          <w:lang w:val="nl-NL"/>
        </w:rPr>
        <w:t>fonds</w:t>
      </w:r>
      <w:r w:rsidRPr="00352524">
        <w:rPr>
          <w:lang w:val="nl-NL"/>
        </w:rPr>
        <w:t xml:space="preserve"> gelijk wordt aan de minimaal vereiste dekkingsgraad.</w:t>
      </w:r>
      <w:r w:rsidR="00352524" w:rsidRPr="00352524">
        <w:rPr>
          <w:lang w:val="nl-NL"/>
        </w:rPr>
        <w:br/>
      </w:r>
      <w:r w:rsidR="00352524" w:rsidRPr="00352524">
        <w:rPr>
          <w:lang w:val="nl-NL"/>
        </w:rPr>
        <w:br/>
      </w:r>
      <w:r w:rsidR="006601E2">
        <w:rPr>
          <w:lang w:val="nl-NL"/>
        </w:rPr>
        <w:t xml:space="preserve">Ons </w:t>
      </w:r>
      <w:r w:rsidR="001B2EC0">
        <w:rPr>
          <w:lang w:val="nl-NL"/>
        </w:rPr>
        <w:t>fonds</w:t>
      </w:r>
      <w:r w:rsidRPr="00352524">
        <w:rPr>
          <w:lang w:val="nl-NL"/>
        </w:rPr>
        <w:t xml:space="preserve"> hanteert als leidraad dat verminderingen tot (maximaal) 5% in beginsel in één keer in aanmerking worden genomen.</w:t>
      </w:r>
      <w:r w:rsidR="0023776C">
        <w:rPr>
          <w:lang w:val="nl-NL"/>
        </w:rPr>
        <w:t xml:space="preserve"> </w:t>
      </w:r>
      <w:r w:rsidRPr="00352524">
        <w:rPr>
          <w:lang w:val="nl-NL"/>
        </w:rPr>
        <w:t xml:space="preserve">Indien de noodzakelijke vermindering hoger is dan 5%, dan wordt overgegaan op gespreide verwerking ervan, indien dat wettelijk is geoorloofd, en met toepassing van een maximale spreidingstermijn van 10 jaar. Het bestuur kan van deze leidraad voor gespreide verwerking van de vermindering afwijken en kan ook bij kleinere verminderingen dan 5% overgaan op gespreide verwerking, in het belang van de deelnemers </w:t>
      </w:r>
      <w:r w:rsidRPr="00352524">
        <w:rPr>
          <w:lang w:val="nl-NL"/>
        </w:rPr>
        <w:lastRenderedPageBreak/>
        <w:t>die door de vermindering direct in hun pensioeninkomen worden geraakt en met inachtneming van een evenwichtige afweging van de belangen op dat moment.</w:t>
      </w:r>
    </w:p>
    <w:p w14:paraId="65BC8E67" w14:textId="60B13951" w:rsidR="007A0343" w:rsidRPr="00352524" w:rsidRDefault="007A0343" w:rsidP="001E699B">
      <w:pPr>
        <w:pStyle w:val="Lijstalinea"/>
        <w:numPr>
          <w:ilvl w:val="0"/>
          <w:numId w:val="21"/>
        </w:numPr>
        <w:rPr>
          <w:lang w:val="nl-NL"/>
        </w:rPr>
      </w:pPr>
      <w:r w:rsidRPr="00352524">
        <w:rPr>
          <w:u w:val="single"/>
          <w:lang w:val="nl-NL"/>
        </w:rPr>
        <w:t>Beleidsdekkingsgraad lager dan vereist eigen vermogen</w:t>
      </w:r>
      <w:r w:rsidR="00352524" w:rsidRPr="00352524">
        <w:rPr>
          <w:u w:val="single"/>
          <w:lang w:val="nl-NL"/>
        </w:rPr>
        <w:br/>
      </w:r>
      <w:r w:rsidR="00352524" w:rsidRPr="00352524">
        <w:rPr>
          <w:lang w:val="nl-NL"/>
        </w:rPr>
        <w:br/>
      </w:r>
      <w:r w:rsidRPr="00352524">
        <w:rPr>
          <w:lang w:val="nl-NL"/>
        </w:rPr>
        <w:t xml:space="preserve">Indien de beleidsdekkingsgraad van </w:t>
      </w:r>
      <w:r w:rsidR="006601E2">
        <w:rPr>
          <w:lang w:val="nl-NL"/>
        </w:rPr>
        <w:t xml:space="preserve">ons </w:t>
      </w:r>
      <w:r w:rsidR="001B2EC0">
        <w:rPr>
          <w:lang w:val="nl-NL"/>
        </w:rPr>
        <w:t>fonds</w:t>
      </w:r>
      <w:r w:rsidRPr="00352524">
        <w:rPr>
          <w:lang w:val="nl-NL"/>
        </w:rPr>
        <w:t xml:space="preserve"> aan het einde van een kwartaal lager is dan de vereiste dekkingsgraad, dan moet </w:t>
      </w:r>
      <w:r w:rsidR="001B2EC0">
        <w:rPr>
          <w:lang w:val="nl-NL"/>
        </w:rPr>
        <w:t>het fonds</w:t>
      </w:r>
      <w:r w:rsidRPr="00352524">
        <w:rPr>
          <w:lang w:val="nl-NL"/>
        </w:rPr>
        <w:t xml:space="preserve"> op grond van het </w:t>
      </w:r>
      <w:r w:rsidR="00780EE5">
        <w:rPr>
          <w:lang w:val="nl-NL"/>
        </w:rPr>
        <w:t>F</w:t>
      </w:r>
      <w:r w:rsidRPr="00352524">
        <w:rPr>
          <w:lang w:val="nl-NL"/>
        </w:rPr>
        <w:t xml:space="preserve">inancieel </w:t>
      </w:r>
      <w:r w:rsidR="00780EE5">
        <w:rPr>
          <w:lang w:val="nl-NL"/>
        </w:rPr>
        <w:t>T</w:t>
      </w:r>
      <w:r w:rsidRPr="00352524">
        <w:rPr>
          <w:lang w:val="nl-NL"/>
        </w:rPr>
        <w:t xml:space="preserve">oetsingskader voor pensioenfondsen een herstelplan opstellen waarin het aangeeft hoe het fonds weer een beleidsdekkingsgraad ter grootte van het vereist eigen vermogen gaat bereiken binnen een periode van maximaal 10 jaar. Bij het opstellen van een herstelplan hanteert </w:t>
      </w:r>
      <w:r w:rsidR="006601E2">
        <w:rPr>
          <w:lang w:val="nl-NL"/>
        </w:rPr>
        <w:t xml:space="preserve">ons </w:t>
      </w:r>
      <w:r w:rsidR="001B2EC0">
        <w:rPr>
          <w:lang w:val="nl-NL"/>
        </w:rPr>
        <w:t>fonds</w:t>
      </w:r>
      <w:r w:rsidRPr="00352524">
        <w:rPr>
          <w:lang w:val="nl-NL"/>
        </w:rPr>
        <w:t xml:space="preserve"> de maximale wettelijke termijn van 10 jaar. Indien uit het herstelplan blijkt dat </w:t>
      </w:r>
      <w:r w:rsidR="006601E2">
        <w:rPr>
          <w:lang w:val="nl-NL"/>
        </w:rPr>
        <w:t xml:space="preserve">ons </w:t>
      </w:r>
      <w:r w:rsidR="001B2EC0">
        <w:rPr>
          <w:lang w:val="nl-NL"/>
        </w:rPr>
        <w:t>fonds</w:t>
      </w:r>
      <w:r w:rsidRPr="00352524">
        <w:rPr>
          <w:lang w:val="nl-NL"/>
        </w:rPr>
        <w:t xml:space="preserve"> niet binnen deze termijn – en met gebruikmaking van de overige sturingsmiddelen – in staat is om een beleidsdekkingsgraad te bereiken die tenminste gelijk is aan de vereiste dekkingsgraad, dan zal het bestuur van </w:t>
      </w:r>
      <w:r w:rsidR="001B2EC0">
        <w:rPr>
          <w:lang w:val="nl-NL"/>
        </w:rPr>
        <w:t>het fonds</w:t>
      </w:r>
      <w:r w:rsidRPr="00352524">
        <w:rPr>
          <w:lang w:val="nl-NL"/>
        </w:rPr>
        <w:t xml:space="preserve"> moeten besluiten om de pensioenaanspraken en –rechten zodanig te verminderen dat in het herstelplan na 10 jaar de beleidsdekkingsgraad naar verwachting tenminste gelijk is aan de vereiste dekkingsgraad. Deze vermindering komt gespreid over de termijn van het herstelplan tot uitdrukking en wordt van jaar tot jaar in aanmerking genomen indien uit de jaarlijkse evaluatie van het herstelplan blijkt dat dit noodzakelijk is om de beleidsdekkingsgraad te herstellen. Het herstelplan wordt op de website van </w:t>
      </w:r>
      <w:r w:rsidR="006601E2">
        <w:rPr>
          <w:lang w:val="nl-NL"/>
        </w:rPr>
        <w:t>ons</w:t>
      </w:r>
      <w:r w:rsidR="006601E2" w:rsidRPr="00352524">
        <w:rPr>
          <w:lang w:val="nl-NL"/>
        </w:rPr>
        <w:t xml:space="preserve"> </w:t>
      </w:r>
      <w:r w:rsidRPr="00352524">
        <w:rPr>
          <w:lang w:val="nl-NL"/>
        </w:rPr>
        <w:t>fonds openbaar gemaakt.</w:t>
      </w:r>
      <w:r w:rsidR="00352524">
        <w:rPr>
          <w:lang w:val="nl-NL"/>
        </w:rPr>
        <w:br/>
      </w:r>
    </w:p>
    <w:p w14:paraId="0DB0004E" w14:textId="77777777" w:rsidR="007A0343" w:rsidRPr="00352524" w:rsidRDefault="007A0343" w:rsidP="007A0343">
      <w:pPr>
        <w:rPr>
          <w:i/>
          <w:lang w:val="nl-NL"/>
        </w:rPr>
      </w:pPr>
      <w:r w:rsidRPr="00352524">
        <w:rPr>
          <w:i/>
          <w:lang w:val="nl-NL"/>
        </w:rPr>
        <w:t>Opbouwkorting</w:t>
      </w:r>
    </w:p>
    <w:p w14:paraId="6CB93DEB" w14:textId="09F0CF0A" w:rsidR="00073F79" w:rsidRPr="00432DF6" w:rsidRDefault="007A0343" w:rsidP="00073F79">
      <w:pPr>
        <w:autoSpaceDE w:val="0"/>
        <w:autoSpaceDN w:val="0"/>
        <w:adjustRightInd w:val="0"/>
        <w:spacing w:line="240" w:lineRule="auto"/>
        <w:rPr>
          <w:lang w:val="nl-NL"/>
        </w:rPr>
      </w:pPr>
      <w:r w:rsidRPr="007A0343">
        <w:rPr>
          <w:lang w:val="nl-NL"/>
        </w:rPr>
        <w:t xml:space="preserve">De CDC-pensioenregeling wordt gefinancierd met een </w:t>
      </w:r>
      <w:r w:rsidR="00934DA5">
        <w:rPr>
          <w:lang w:val="nl-NL"/>
        </w:rPr>
        <w:t xml:space="preserve">vaste </w:t>
      </w:r>
      <w:r w:rsidRPr="007A0343">
        <w:rPr>
          <w:lang w:val="nl-NL"/>
        </w:rPr>
        <w:t>premie</w:t>
      </w:r>
      <w:r w:rsidR="00934DA5">
        <w:rPr>
          <w:lang w:val="nl-NL"/>
        </w:rPr>
        <w:t>.</w:t>
      </w:r>
      <w:r w:rsidRPr="007A0343">
        <w:rPr>
          <w:lang w:val="nl-NL"/>
        </w:rPr>
        <w:t xml:space="preserve"> Per </w:t>
      </w:r>
      <w:r w:rsidR="00AF1FFF">
        <w:rPr>
          <w:lang w:val="nl-NL"/>
        </w:rPr>
        <w:t>30 september</w:t>
      </w:r>
      <w:r w:rsidRPr="007A0343">
        <w:rPr>
          <w:lang w:val="nl-NL"/>
        </w:rPr>
        <w:t xml:space="preserve"> van elk boekjaar wordt getoetst of de feitelijke premie voor het komende boekjaar kostendekkend is. De wijze waarop </w:t>
      </w:r>
      <w:r w:rsidR="006601E2">
        <w:rPr>
          <w:lang w:val="nl-NL"/>
        </w:rPr>
        <w:t xml:space="preserve">ons </w:t>
      </w:r>
      <w:r w:rsidR="001B2EC0">
        <w:rPr>
          <w:lang w:val="nl-NL"/>
        </w:rPr>
        <w:t>fonds</w:t>
      </w:r>
      <w:r w:rsidRPr="007A0343">
        <w:rPr>
          <w:lang w:val="nl-NL"/>
        </w:rPr>
        <w:t xml:space="preserve"> de kostendekkendheid meet, is beschreven in paragraaf 8.2 van deze ABTN. </w:t>
      </w:r>
      <w:r w:rsidR="00073F79" w:rsidRPr="00432DF6">
        <w:rPr>
          <w:lang w:val="nl-NL"/>
        </w:rPr>
        <w:t xml:space="preserve">Indien blijkt dat de feitelijke premie voor het volgende boekjaar niet voldoende is voor de opbouw van de pensioenaanspraken en –rechten in dat jaar, </w:t>
      </w:r>
      <w:r w:rsidR="002E616A" w:rsidRPr="00432DF6">
        <w:rPr>
          <w:lang w:val="nl-NL"/>
        </w:rPr>
        <w:t xml:space="preserve">zal er in </w:t>
      </w:r>
      <w:r w:rsidR="00AF1FFF">
        <w:rPr>
          <w:lang w:val="nl-NL"/>
        </w:rPr>
        <w:t>het komende</w:t>
      </w:r>
      <w:r w:rsidR="002E616A" w:rsidRPr="00432DF6">
        <w:rPr>
          <w:lang w:val="nl-NL"/>
        </w:rPr>
        <w:t xml:space="preserve"> jaar navenant minder pensioen worden </w:t>
      </w:r>
      <w:r w:rsidR="00703238" w:rsidRPr="00703238">
        <w:rPr>
          <w:lang w:val="nl-NL"/>
        </w:rPr>
        <w:t>opgebouwd</w:t>
      </w:r>
      <w:r w:rsidR="002E616A" w:rsidRPr="00432DF6">
        <w:rPr>
          <w:lang w:val="nl-NL"/>
        </w:rPr>
        <w:t>. Daarbij wordt eerst de pensioenopbouw verminderd en, voor zover dit niet volstaat, de dekking gedurende het deelnemerschap voor het partner- en wezenpensioen d</w:t>
      </w:r>
      <w:r w:rsidR="00703238">
        <w:rPr>
          <w:lang w:val="nl-NL"/>
        </w:rPr>
        <w:t>at</w:t>
      </w:r>
      <w:r w:rsidR="0052075C" w:rsidRPr="0052075C">
        <w:rPr>
          <w:lang w:val="nl-NL"/>
        </w:rPr>
        <w:t xml:space="preserve"> een deelnemer vanaf</w:t>
      </w:r>
      <w:r w:rsidR="002E616A" w:rsidRPr="00432DF6">
        <w:rPr>
          <w:lang w:val="nl-NL"/>
        </w:rPr>
        <w:t xml:space="preserve"> overlijden tot aan de pensioendatum had kunnen opbouwen en </w:t>
      </w:r>
      <w:r w:rsidR="0052075C" w:rsidRPr="00703238">
        <w:rPr>
          <w:lang w:val="nl-NL"/>
        </w:rPr>
        <w:t>de premievrijstelling bij a</w:t>
      </w:r>
      <w:r w:rsidR="002E616A" w:rsidRPr="00432DF6">
        <w:rPr>
          <w:lang w:val="nl-NL"/>
        </w:rPr>
        <w:t>rbeidsongeschiktheid.</w:t>
      </w:r>
      <w:r w:rsidR="002E616A">
        <w:rPr>
          <w:lang w:val="nl-NL"/>
        </w:rPr>
        <w:t xml:space="preserve"> De dekking van het tijdelijk partnerpensioen zal niet worden verminderd.</w:t>
      </w:r>
    </w:p>
    <w:p w14:paraId="69BD2D14" w14:textId="77777777" w:rsidR="00073F79" w:rsidRPr="00432DF6" w:rsidRDefault="00073F79" w:rsidP="00073F79">
      <w:pPr>
        <w:autoSpaceDE w:val="0"/>
        <w:autoSpaceDN w:val="0"/>
        <w:adjustRightInd w:val="0"/>
        <w:spacing w:line="240" w:lineRule="auto"/>
        <w:rPr>
          <w:lang w:val="nl-NL"/>
        </w:rPr>
      </w:pPr>
    </w:p>
    <w:p w14:paraId="19895DCE" w14:textId="77777777" w:rsidR="00073F79" w:rsidRPr="00432DF6" w:rsidRDefault="00073F79" w:rsidP="00073F79">
      <w:pPr>
        <w:autoSpaceDE w:val="0"/>
        <w:autoSpaceDN w:val="0"/>
        <w:adjustRightInd w:val="0"/>
        <w:spacing w:line="240" w:lineRule="auto"/>
        <w:rPr>
          <w:lang w:val="nl-NL"/>
        </w:rPr>
      </w:pPr>
      <w:r w:rsidRPr="00432DF6">
        <w:rPr>
          <w:lang w:val="nl-NL"/>
        </w:rPr>
        <w:t>Bij de beoordeling van de feitelijke premie wordt naast de toets op vereiste kostendekkendheid van de</w:t>
      </w:r>
    </w:p>
    <w:p w14:paraId="45E05E02" w14:textId="77777777" w:rsidR="00073F79" w:rsidRPr="00432DF6" w:rsidRDefault="00073F79" w:rsidP="00073F79">
      <w:pPr>
        <w:autoSpaceDE w:val="0"/>
        <w:autoSpaceDN w:val="0"/>
        <w:adjustRightInd w:val="0"/>
        <w:spacing w:line="240" w:lineRule="auto"/>
        <w:rPr>
          <w:lang w:val="nl-NL"/>
        </w:rPr>
      </w:pPr>
      <w:r w:rsidRPr="00432DF6">
        <w:rPr>
          <w:lang w:val="nl-NL"/>
        </w:rPr>
        <w:t>feitelijke premie tevens de aanvullende eis met betrekking tot de premiedekkingsgraad van minimaal</w:t>
      </w:r>
    </w:p>
    <w:p w14:paraId="34085F9E" w14:textId="73EC936D" w:rsidR="007A0343" w:rsidRDefault="00073F79" w:rsidP="00073F79">
      <w:pPr>
        <w:rPr>
          <w:lang w:val="nl-NL"/>
        </w:rPr>
      </w:pPr>
      <w:r w:rsidRPr="00432DF6">
        <w:rPr>
          <w:lang w:val="nl-NL"/>
        </w:rPr>
        <w:t>10</w:t>
      </w:r>
      <w:r w:rsidR="003A19D9">
        <w:rPr>
          <w:lang w:val="nl-NL"/>
        </w:rPr>
        <w:t>0</w:t>
      </w:r>
      <w:r w:rsidRPr="00432DF6">
        <w:rPr>
          <w:lang w:val="nl-NL"/>
        </w:rPr>
        <w:t>% betrokken.</w:t>
      </w:r>
    </w:p>
    <w:p w14:paraId="4048FB7A" w14:textId="33786EB8" w:rsidR="007907FC" w:rsidRDefault="007907FC">
      <w:pPr>
        <w:spacing w:after="200" w:line="276" w:lineRule="auto"/>
        <w:rPr>
          <w:lang w:val="nl-NL"/>
        </w:rPr>
      </w:pPr>
      <w:r>
        <w:rPr>
          <w:lang w:val="nl-NL"/>
        </w:rPr>
        <w:br w:type="page"/>
      </w:r>
    </w:p>
    <w:p w14:paraId="4AE4514F" w14:textId="5E140C03" w:rsidR="007A0343" w:rsidRPr="007A0343" w:rsidRDefault="007A0343" w:rsidP="00352524">
      <w:pPr>
        <w:pStyle w:val="Kop2"/>
        <w:rPr>
          <w:rFonts w:hint="eastAsia"/>
          <w:lang w:val="nl-NL"/>
        </w:rPr>
      </w:pPr>
      <w:bookmarkStart w:id="45" w:name="_Toc231804771"/>
      <w:r w:rsidRPr="007A0343">
        <w:rPr>
          <w:lang w:val="nl-NL"/>
        </w:rPr>
        <w:lastRenderedPageBreak/>
        <w:t>Periodieke toetsing</w:t>
      </w:r>
      <w:bookmarkEnd w:id="45"/>
    </w:p>
    <w:p w14:paraId="3410234F" w14:textId="77777777" w:rsidR="007A0343" w:rsidRPr="007A0343" w:rsidRDefault="007A0343" w:rsidP="007A0343">
      <w:pPr>
        <w:rPr>
          <w:lang w:val="nl-NL"/>
        </w:rPr>
      </w:pPr>
    </w:p>
    <w:p w14:paraId="6A275ED8" w14:textId="77777777" w:rsidR="007A0343" w:rsidRPr="007A0343" w:rsidRDefault="007A0343" w:rsidP="007A0343">
      <w:pPr>
        <w:rPr>
          <w:lang w:val="nl-NL"/>
        </w:rPr>
      </w:pPr>
      <w:r w:rsidRPr="007A0343">
        <w:rPr>
          <w:lang w:val="nl-NL"/>
        </w:rPr>
        <w:t>De drie toetsingsmiddelen op grond waarvan het</w:t>
      </w:r>
      <w:r w:rsidR="00714E6D">
        <w:rPr>
          <w:lang w:val="nl-NL"/>
        </w:rPr>
        <w:t xml:space="preserve"> </w:t>
      </w:r>
      <w:r w:rsidRPr="007A0343">
        <w:rPr>
          <w:lang w:val="nl-NL"/>
        </w:rPr>
        <w:t>fonds haar beleid monitort en eventueel bijstuurt, zijn de haalbaarheidstoets, de ALM-studie en de beleggingsrapportages.</w:t>
      </w:r>
    </w:p>
    <w:p w14:paraId="036E79CF" w14:textId="77777777" w:rsidR="007A0343" w:rsidRPr="007A0343" w:rsidRDefault="007A0343" w:rsidP="007A0343">
      <w:pPr>
        <w:rPr>
          <w:lang w:val="nl-NL"/>
        </w:rPr>
      </w:pPr>
    </w:p>
    <w:p w14:paraId="4043BEE9" w14:textId="77777777" w:rsidR="007A0343" w:rsidRPr="00352524" w:rsidRDefault="007A0343" w:rsidP="007A0343">
      <w:pPr>
        <w:rPr>
          <w:i/>
          <w:lang w:val="nl-NL"/>
        </w:rPr>
      </w:pPr>
      <w:r w:rsidRPr="00352524">
        <w:rPr>
          <w:i/>
          <w:lang w:val="nl-NL"/>
        </w:rPr>
        <w:t>(Aanvangs-) haalbaarheidstoets</w:t>
      </w:r>
    </w:p>
    <w:p w14:paraId="01FFB9C7" w14:textId="23AA24DE" w:rsidR="007A0343" w:rsidRPr="007A0343" w:rsidRDefault="007A0343" w:rsidP="007A0343">
      <w:pPr>
        <w:rPr>
          <w:lang w:val="nl-NL"/>
        </w:rPr>
      </w:pPr>
      <w:r w:rsidRPr="007A0343">
        <w:rPr>
          <w:lang w:val="nl-NL"/>
        </w:rPr>
        <w:t xml:space="preserve">Jaarlijks voert </w:t>
      </w:r>
      <w:r w:rsidR="00266541">
        <w:rPr>
          <w:lang w:val="nl-NL"/>
        </w:rPr>
        <w:t xml:space="preserve">ons </w:t>
      </w:r>
      <w:r w:rsidR="001B2EC0">
        <w:rPr>
          <w:lang w:val="nl-NL"/>
        </w:rPr>
        <w:t>fonds</w:t>
      </w:r>
      <w:r w:rsidRPr="007A0343">
        <w:rPr>
          <w:lang w:val="nl-NL"/>
        </w:rPr>
        <w:t xml:space="preserve"> in het eerste kwartaal de haalbaarheidstoets uit volgens het door DNB voorgeschreven model en met gebruikmaking van de door DNB gepubliceerde economische scenariosets en rekenregels.</w:t>
      </w:r>
      <w:r w:rsidR="00352524">
        <w:rPr>
          <w:lang w:val="nl-NL"/>
        </w:rPr>
        <w:t xml:space="preserve"> </w:t>
      </w:r>
      <w:r w:rsidRPr="007A0343">
        <w:rPr>
          <w:lang w:val="nl-NL"/>
        </w:rPr>
        <w:t xml:space="preserve">In deze haalbaarheidstoets berekent </w:t>
      </w:r>
      <w:r w:rsidR="00266541">
        <w:rPr>
          <w:lang w:val="nl-NL"/>
        </w:rPr>
        <w:t xml:space="preserve">ons </w:t>
      </w:r>
      <w:r w:rsidR="001B2EC0">
        <w:rPr>
          <w:lang w:val="nl-NL"/>
        </w:rPr>
        <w:t>fonds</w:t>
      </w:r>
      <w:r w:rsidRPr="007A0343">
        <w:rPr>
          <w:lang w:val="nl-NL"/>
        </w:rPr>
        <w:t xml:space="preserve"> in hoeverre het gemiddeld verwachte pensioenresultaat op fondsniveau over een horizon van 60 jaar aansluit bij de ondergrens van </w:t>
      </w:r>
      <w:r w:rsidR="009C6DF9">
        <w:rPr>
          <w:lang w:val="nl-NL"/>
        </w:rPr>
        <w:t>8</w:t>
      </w:r>
      <w:r w:rsidRPr="007A0343">
        <w:rPr>
          <w:lang w:val="nl-NL"/>
        </w:rPr>
        <w:t xml:space="preserve">0% van het verwachte pensioenresultaat die </w:t>
      </w:r>
      <w:r w:rsidR="00AA1A34">
        <w:rPr>
          <w:lang w:val="nl-NL"/>
        </w:rPr>
        <w:t>ons</w:t>
      </w:r>
      <w:r w:rsidR="00AA1A34" w:rsidRPr="007A0343">
        <w:rPr>
          <w:lang w:val="nl-NL"/>
        </w:rPr>
        <w:t xml:space="preserve"> </w:t>
      </w:r>
      <w:r w:rsidRPr="007A0343">
        <w:rPr>
          <w:lang w:val="nl-NL"/>
        </w:rPr>
        <w:t xml:space="preserve">fonds daarvoor heeft geformuleerd en of het verwachte pensioenresultaat onder een slechtweerscenario niet meer dan </w:t>
      </w:r>
      <w:r w:rsidR="009C6DF9">
        <w:rPr>
          <w:lang w:val="nl-NL"/>
        </w:rPr>
        <w:t>4</w:t>
      </w:r>
      <w:r w:rsidR="00AC0B8F">
        <w:rPr>
          <w:lang w:val="nl-NL"/>
        </w:rPr>
        <w:t>0</w:t>
      </w:r>
      <w:r w:rsidRPr="007A0343">
        <w:rPr>
          <w:lang w:val="nl-NL"/>
        </w:rPr>
        <w:t>% afwijkt van het gemiddeld verwachte pensioenresultaat.</w:t>
      </w:r>
    </w:p>
    <w:p w14:paraId="4A86C58F" w14:textId="77777777" w:rsidR="007A0343" w:rsidRPr="007A0343" w:rsidRDefault="007A0343" w:rsidP="007A0343">
      <w:pPr>
        <w:rPr>
          <w:lang w:val="nl-NL"/>
        </w:rPr>
      </w:pPr>
    </w:p>
    <w:p w14:paraId="2F55D69E" w14:textId="77777777" w:rsidR="007A0343" w:rsidRPr="007A0343" w:rsidRDefault="007A0343" w:rsidP="007A0343">
      <w:pPr>
        <w:rPr>
          <w:lang w:val="nl-NL"/>
        </w:rPr>
      </w:pPr>
      <w:r w:rsidRPr="007A0343">
        <w:rPr>
          <w:lang w:val="nl-NL"/>
        </w:rPr>
        <w:t>Pensioenresultaat is hiervoor wettelijk voorgeschreven als:</w:t>
      </w:r>
    </w:p>
    <w:p w14:paraId="0B1749D0" w14:textId="515521C7" w:rsidR="007A0343" w:rsidRPr="007A0343" w:rsidRDefault="007A0343" w:rsidP="007A0343">
      <w:pPr>
        <w:rPr>
          <w:lang w:val="nl-NL"/>
        </w:rPr>
      </w:pPr>
      <w:r w:rsidRPr="007A0343">
        <w:rPr>
          <w:lang w:val="nl-NL"/>
        </w:rPr>
        <w:t>De verhoudingsbreuk tussen i. de verwachte pensioenuitkeringen en ii. de pensioenuitkeringen die het fonds zou doen indien nooit verminderingen hoeven te worden doorgevoerd en indien jaarlijks volledige pensioenopbouw plaatsvindt en volledig toeslag wordt verleend op basis van prijsindexcijfers.</w:t>
      </w:r>
    </w:p>
    <w:p w14:paraId="17775EF2" w14:textId="77777777" w:rsidR="007A0343" w:rsidRPr="007A0343" w:rsidRDefault="007A0343" w:rsidP="007A0343">
      <w:pPr>
        <w:rPr>
          <w:lang w:val="nl-NL"/>
        </w:rPr>
      </w:pPr>
    </w:p>
    <w:p w14:paraId="59822E19" w14:textId="77777777" w:rsidR="0081080A" w:rsidRDefault="007A0343" w:rsidP="0081080A">
      <w:pPr>
        <w:rPr>
          <w:lang w:val="nl-NL"/>
        </w:rPr>
      </w:pPr>
      <w:r w:rsidRPr="007A0343">
        <w:rPr>
          <w:lang w:val="nl-NL"/>
        </w:rPr>
        <w:t>Voor de berekeningen in de haalbaarheidstoets worden de deelnemers in het fonds ingedeeld in leeftijdsgroepen en worden de verwachte pensioenresultaten per leeftijdsgroep berekend. Het (naar aantallen deelnemers) gewogen gemiddelde van de leeftijdsgroepen is het verwachte pensioenre</w:t>
      </w:r>
      <w:r w:rsidR="0081080A">
        <w:rPr>
          <w:lang w:val="nl-NL"/>
        </w:rPr>
        <w:t xml:space="preserve">sultaat op </w:t>
      </w:r>
      <w:r w:rsidR="004A57E7">
        <w:rPr>
          <w:lang w:val="nl-NL"/>
        </w:rPr>
        <w:t>fonds</w:t>
      </w:r>
      <w:r w:rsidR="0081080A">
        <w:rPr>
          <w:lang w:val="nl-NL"/>
        </w:rPr>
        <w:t>niveau.</w:t>
      </w:r>
    </w:p>
    <w:p w14:paraId="722F5A28" w14:textId="77777777" w:rsidR="005E617B" w:rsidRDefault="005E617B" w:rsidP="007A0343">
      <w:pPr>
        <w:rPr>
          <w:lang w:val="nl-NL"/>
        </w:rPr>
      </w:pPr>
    </w:p>
    <w:p w14:paraId="1DA2B202" w14:textId="49FDB3EC" w:rsidR="007A0343" w:rsidRPr="007A0343" w:rsidRDefault="007A0343" w:rsidP="007A0343">
      <w:pPr>
        <w:rPr>
          <w:lang w:val="nl-NL"/>
        </w:rPr>
      </w:pPr>
      <w:r w:rsidRPr="007A0343">
        <w:rPr>
          <w:lang w:val="nl-NL"/>
        </w:rPr>
        <w:t xml:space="preserve">Indien het verwachte pensioenresultaat op fondsniveau bij de jaarlijkse haalbaarheidstoets lager is dan </w:t>
      </w:r>
      <w:r w:rsidR="009C6DF9">
        <w:rPr>
          <w:lang w:val="nl-NL"/>
        </w:rPr>
        <w:t>8</w:t>
      </w:r>
      <w:r w:rsidRPr="007A0343">
        <w:rPr>
          <w:lang w:val="nl-NL"/>
        </w:rPr>
        <w:t xml:space="preserve">0% van het verwachte pensioenresultaat of als het verwachte pensioenresultaat in het slechtweerscenario meer dan </w:t>
      </w:r>
      <w:r w:rsidR="009C6DF9">
        <w:rPr>
          <w:lang w:val="nl-NL"/>
        </w:rPr>
        <w:t>4</w:t>
      </w:r>
      <w:r w:rsidR="00A130BD">
        <w:rPr>
          <w:lang w:val="nl-NL"/>
        </w:rPr>
        <w:t>0</w:t>
      </w:r>
      <w:r w:rsidRPr="007A0343">
        <w:rPr>
          <w:lang w:val="nl-NL"/>
        </w:rPr>
        <w:t xml:space="preserve">% afwijkt van het (gemiddeld) verwachte pensioenresultaat, dan treedt het bestuur in overleg met de sociale partners om te bespreken of het nodig dan wel wenselijk is om de financiële opzet van </w:t>
      </w:r>
      <w:r w:rsidR="00266541">
        <w:rPr>
          <w:lang w:val="nl-NL"/>
        </w:rPr>
        <w:t>ons</w:t>
      </w:r>
      <w:r w:rsidR="00266541" w:rsidRPr="007A0343">
        <w:rPr>
          <w:lang w:val="nl-NL"/>
        </w:rPr>
        <w:t xml:space="preserve"> </w:t>
      </w:r>
      <w:r w:rsidRPr="007A0343">
        <w:rPr>
          <w:lang w:val="nl-NL"/>
        </w:rPr>
        <w:t xml:space="preserve">fonds bij te stellen. De jaarlijkse haalbaarheidstoets wordt door het bestuur besproken met de sociale partners in een gezamenlijke vergadering in het tweede kwartaal van het jaar. Het bestuur en de sociale partners hebben hiertoe afspraken gemaakt in een gezamenlijk convenant. </w:t>
      </w:r>
    </w:p>
    <w:p w14:paraId="0593CBC6" w14:textId="77777777" w:rsidR="007A0343" w:rsidRPr="007A0343" w:rsidRDefault="007A0343" w:rsidP="007A0343">
      <w:pPr>
        <w:rPr>
          <w:lang w:val="nl-NL"/>
        </w:rPr>
      </w:pPr>
    </w:p>
    <w:p w14:paraId="4D708974" w14:textId="1A1606B9" w:rsidR="007A0343" w:rsidRPr="007A0343" w:rsidRDefault="007A0343" w:rsidP="007A0343">
      <w:pPr>
        <w:rPr>
          <w:lang w:val="nl-NL"/>
        </w:rPr>
      </w:pPr>
      <w:r w:rsidRPr="007A0343">
        <w:rPr>
          <w:lang w:val="nl-NL"/>
        </w:rPr>
        <w:t xml:space="preserve">Bij ingrijpende voorgenomen wijzigingen in het beleggingsbeleid, de premiefinanciering of de CDC-pensioenregeling zal een aanvangshaalbaarheidstoets worden uitgevoerd. </w:t>
      </w:r>
    </w:p>
    <w:p w14:paraId="71561475" w14:textId="77777777" w:rsidR="007A0343" w:rsidRPr="007A0343" w:rsidRDefault="007A0343" w:rsidP="007A0343">
      <w:pPr>
        <w:rPr>
          <w:lang w:val="nl-NL"/>
        </w:rPr>
      </w:pPr>
    </w:p>
    <w:p w14:paraId="0E5BCD3C" w14:textId="4E373676" w:rsidR="00A01F9F" w:rsidRDefault="00266541" w:rsidP="00A01F9F">
      <w:pPr>
        <w:rPr>
          <w:lang w:val="nl-NL"/>
        </w:rPr>
      </w:pPr>
      <w:r>
        <w:rPr>
          <w:lang w:val="nl-NL"/>
        </w:rPr>
        <w:t>Ons</w:t>
      </w:r>
      <w:r w:rsidRPr="007A0343">
        <w:rPr>
          <w:lang w:val="nl-NL"/>
        </w:rPr>
        <w:t xml:space="preserve"> </w:t>
      </w:r>
      <w:r w:rsidR="007A0343" w:rsidRPr="007A0343">
        <w:rPr>
          <w:lang w:val="nl-NL"/>
        </w:rPr>
        <w:t>fonds licht de (uitkomsten van de) jaarlijkse haalbaarheidstoets toe in het bestuursverslag bij de jaarrekening.</w:t>
      </w:r>
      <w:r w:rsidR="00A01F9F">
        <w:rPr>
          <w:lang w:val="nl-NL"/>
        </w:rPr>
        <w:t xml:space="preserve"> De (aanvangs)haalbaarheidstoets wordt tevens besproken met sociale partners.</w:t>
      </w:r>
    </w:p>
    <w:p w14:paraId="72DD2CAB" w14:textId="77777777" w:rsidR="007A0343" w:rsidRPr="007A0343" w:rsidRDefault="007A0343" w:rsidP="007A0343">
      <w:pPr>
        <w:rPr>
          <w:lang w:val="nl-NL"/>
        </w:rPr>
      </w:pPr>
    </w:p>
    <w:p w14:paraId="7EB7A87B" w14:textId="77777777" w:rsidR="007A0343" w:rsidRPr="0081080A" w:rsidRDefault="007A0343" w:rsidP="007A0343">
      <w:pPr>
        <w:rPr>
          <w:i/>
          <w:lang w:val="nl-NL"/>
        </w:rPr>
      </w:pPr>
      <w:r w:rsidRPr="0081080A">
        <w:rPr>
          <w:i/>
          <w:lang w:val="nl-NL"/>
        </w:rPr>
        <w:t>ALM-studie</w:t>
      </w:r>
    </w:p>
    <w:p w14:paraId="66C78532" w14:textId="315A42CF" w:rsidR="007A0343" w:rsidRPr="007A0343" w:rsidRDefault="007A0343" w:rsidP="007A0343">
      <w:pPr>
        <w:rPr>
          <w:lang w:val="nl-NL"/>
        </w:rPr>
      </w:pPr>
      <w:r w:rsidRPr="007A0343">
        <w:rPr>
          <w:lang w:val="nl-NL"/>
        </w:rPr>
        <w:t xml:space="preserve">Ten minste om de drie jaar laat </w:t>
      </w:r>
      <w:r w:rsidR="00266541">
        <w:rPr>
          <w:lang w:val="nl-NL"/>
        </w:rPr>
        <w:t>ons</w:t>
      </w:r>
      <w:r w:rsidR="00266541" w:rsidRPr="007A0343">
        <w:rPr>
          <w:lang w:val="nl-NL"/>
        </w:rPr>
        <w:t xml:space="preserve"> </w:t>
      </w:r>
      <w:r w:rsidRPr="007A0343">
        <w:rPr>
          <w:lang w:val="nl-NL"/>
        </w:rPr>
        <w:t>fonds een ALM-studie uitvoeren om het beleggingsbeleid te ijken en om mogelijke gevolgen van gewijzigde omstandigheden in kaart te brengen.</w:t>
      </w:r>
      <w:r w:rsidR="00D649AD">
        <w:rPr>
          <w:lang w:val="nl-NL"/>
        </w:rPr>
        <w:t xml:space="preserve"> De meest recente ALM-studie is uitgevoerd </w:t>
      </w:r>
      <w:r w:rsidR="005953A7">
        <w:rPr>
          <w:lang w:val="nl-NL"/>
        </w:rPr>
        <w:t>medio 2021</w:t>
      </w:r>
      <w:r w:rsidR="00D649AD">
        <w:rPr>
          <w:lang w:val="nl-NL"/>
        </w:rPr>
        <w:t>.</w:t>
      </w:r>
    </w:p>
    <w:p w14:paraId="0F4DBB97" w14:textId="77777777" w:rsidR="007A0343" w:rsidRPr="007A0343" w:rsidRDefault="007A0343" w:rsidP="007A0343">
      <w:pPr>
        <w:rPr>
          <w:lang w:val="nl-NL"/>
        </w:rPr>
      </w:pPr>
    </w:p>
    <w:p w14:paraId="459AE2A4" w14:textId="14DA8436" w:rsidR="00E25521" w:rsidRPr="00177A54" w:rsidRDefault="00E25521" w:rsidP="007A0343">
      <w:pPr>
        <w:rPr>
          <w:i/>
          <w:iCs/>
          <w:lang w:val="nl-NL"/>
        </w:rPr>
      </w:pPr>
      <w:r w:rsidRPr="00177A54">
        <w:rPr>
          <w:i/>
          <w:iCs/>
          <w:lang w:val="nl-NL"/>
        </w:rPr>
        <w:t>Update financi</w:t>
      </w:r>
      <w:r w:rsidRPr="00177A54">
        <w:rPr>
          <w:rFonts w:hint="eastAsia"/>
          <w:i/>
          <w:iCs/>
          <w:lang w:val="nl-NL"/>
        </w:rPr>
        <w:t>ë</w:t>
      </w:r>
      <w:r w:rsidRPr="00177A54">
        <w:rPr>
          <w:i/>
          <w:iCs/>
          <w:lang w:val="nl-NL"/>
        </w:rPr>
        <w:t>le markten</w:t>
      </w:r>
    </w:p>
    <w:p w14:paraId="1E0EDA12" w14:textId="4299A86C" w:rsidR="00E25521" w:rsidRPr="007A0343" w:rsidRDefault="00E25521" w:rsidP="007A0343">
      <w:pPr>
        <w:rPr>
          <w:lang w:val="nl-NL"/>
        </w:rPr>
      </w:pPr>
      <w:r>
        <w:rPr>
          <w:lang w:val="nl-NL"/>
        </w:rPr>
        <w:t>Minstens één keer per maand (en frequenter indien de markten daartoe aanleiding geven) levert het bestuursbureau een update financiële markten. Op basis hiervan kan bijstelling Of gewijzigde invulling van het beleggingsbeleid plaatsvinden.</w:t>
      </w:r>
    </w:p>
    <w:p w14:paraId="587B02E8" w14:textId="77777777" w:rsidR="0081080A" w:rsidRDefault="0081080A" w:rsidP="007A0343">
      <w:pPr>
        <w:rPr>
          <w:lang w:val="nl-NL"/>
        </w:rPr>
      </w:pPr>
    </w:p>
    <w:p w14:paraId="531CF7BA" w14:textId="7337F136" w:rsidR="007A0343" w:rsidRPr="007A0343" w:rsidRDefault="007A0343" w:rsidP="0081080A">
      <w:pPr>
        <w:pStyle w:val="Kop1"/>
        <w:rPr>
          <w:rFonts w:hint="eastAsia"/>
          <w:lang w:val="nl-NL"/>
        </w:rPr>
      </w:pPr>
      <w:bookmarkStart w:id="46" w:name="_Toc231804772"/>
      <w:r w:rsidRPr="007A0343">
        <w:rPr>
          <w:lang w:val="nl-NL"/>
        </w:rPr>
        <w:lastRenderedPageBreak/>
        <w:t>Beleggingsbeleid en risicobeleid</w:t>
      </w:r>
      <w:bookmarkEnd w:id="46"/>
    </w:p>
    <w:p w14:paraId="19587FA7" w14:textId="77777777" w:rsidR="007A0343" w:rsidRPr="007A0343" w:rsidRDefault="007A0343" w:rsidP="0081080A">
      <w:pPr>
        <w:pStyle w:val="Kop2"/>
        <w:rPr>
          <w:rFonts w:hint="eastAsia"/>
          <w:lang w:val="nl-NL"/>
        </w:rPr>
      </w:pPr>
      <w:bookmarkStart w:id="47" w:name="_Toc231804773"/>
      <w:r w:rsidRPr="007A0343">
        <w:rPr>
          <w:lang w:val="nl-NL"/>
        </w:rPr>
        <w:t>Doelstelling van het fonds en beleggingsbeleid</w:t>
      </w:r>
      <w:bookmarkEnd w:id="47"/>
    </w:p>
    <w:p w14:paraId="7325F56B" w14:textId="77777777" w:rsidR="0081080A" w:rsidRDefault="0081080A" w:rsidP="007A0343">
      <w:pPr>
        <w:rPr>
          <w:lang w:val="nl-NL"/>
        </w:rPr>
      </w:pPr>
    </w:p>
    <w:p w14:paraId="1244FC37" w14:textId="7BBAC7FE" w:rsidR="007A0343" w:rsidRPr="007A0343" w:rsidRDefault="00191769" w:rsidP="007A0343">
      <w:pPr>
        <w:rPr>
          <w:lang w:val="nl-NL"/>
        </w:rPr>
      </w:pPr>
      <w:r>
        <w:rPr>
          <w:lang w:val="nl-NL"/>
        </w:rPr>
        <w:t>Ons</w:t>
      </w:r>
      <w:r w:rsidRPr="007A0343">
        <w:rPr>
          <w:lang w:val="nl-NL"/>
        </w:rPr>
        <w:t xml:space="preserve"> </w:t>
      </w:r>
      <w:r w:rsidR="007A0343" w:rsidRPr="007A0343">
        <w:rPr>
          <w:lang w:val="nl-NL"/>
        </w:rPr>
        <w:t xml:space="preserve">fonds heeft ten doel pensioenen en/of andere uitkeringen te verstrekken ter zake van ouderdom en arbeidsongeschiktheid en ter zake van overlijden van de deelnemers, gewezen deelnemers en pensioengerechtigden, overeenkomstig de bepalingen van het CDC -pensioenreglement. </w:t>
      </w:r>
      <w:r>
        <w:rPr>
          <w:lang w:val="nl-NL"/>
        </w:rPr>
        <w:t>Ons</w:t>
      </w:r>
      <w:r w:rsidRPr="007A0343">
        <w:rPr>
          <w:lang w:val="nl-NL"/>
        </w:rPr>
        <w:t xml:space="preserve"> </w:t>
      </w:r>
      <w:r w:rsidR="007A0343" w:rsidRPr="007A0343">
        <w:rPr>
          <w:lang w:val="nl-NL"/>
        </w:rPr>
        <w:t xml:space="preserve">fonds kent geen vooraf bepaalde toeslagambitie. Om de waarde van het opgebouwde pensioen te behouden, </w:t>
      </w:r>
      <w:r>
        <w:rPr>
          <w:lang w:val="nl-NL"/>
        </w:rPr>
        <w:t>streven we</w:t>
      </w:r>
      <w:r w:rsidR="007A0343" w:rsidRPr="007A0343">
        <w:rPr>
          <w:lang w:val="nl-NL"/>
        </w:rPr>
        <w:t xml:space="preserve"> ernaar om de opgebouwde pensioen</w:t>
      </w:r>
      <w:r w:rsidR="001D4DD9">
        <w:rPr>
          <w:lang w:val="nl-NL"/>
        </w:rPr>
        <w:t>aanspraken</w:t>
      </w:r>
      <w:r w:rsidR="007A0343" w:rsidRPr="007A0343">
        <w:rPr>
          <w:lang w:val="nl-NL"/>
        </w:rPr>
        <w:t xml:space="preserve"> en –</w:t>
      </w:r>
      <w:r w:rsidR="001D4DD9">
        <w:rPr>
          <w:lang w:val="nl-NL"/>
        </w:rPr>
        <w:t>rechten</w:t>
      </w:r>
      <w:r w:rsidR="007A0343" w:rsidRPr="007A0343">
        <w:rPr>
          <w:lang w:val="nl-NL"/>
        </w:rPr>
        <w:t xml:space="preserve"> jaarlijks te verhogen. De hoogte van toekomstige toeslagen is volledig afhankelijk van de financiële positie en vooruitzichten va</w:t>
      </w:r>
      <w:r w:rsidR="0081080A">
        <w:rPr>
          <w:lang w:val="nl-NL"/>
        </w:rPr>
        <w:t xml:space="preserve">n </w:t>
      </w:r>
      <w:r>
        <w:rPr>
          <w:lang w:val="nl-NL"/>
        </w:rPr>
        <w:t xml:space="preserve">ons </w:t>
      </w:r>
      <w:r w:rsidR="001B2EC0">
        <w:rPr>
          <w:lang w:val="nl-NL"/>
        </w:rPr>
        <w:t>fonds</w:t>
      </w:r>
      <w:r w:rsidR="007A0343" w:rsidRPr="007A0343">
        <w:rPr>
          <w:lang w:val="nl-NL"/>
        </w:rPr>
        <w:t>.</w:t>
      </w:r>
    </w:p>
    <w:p w14:paraId="7B8C84A5" w14:textId="77777777" w:rsidR="0081080A" w:rsidRDefault="0081080A" w:rsidP="007A0343">
      <w:pPr>
        <w:rPr>
          <w:lang w:val="nl-NL"/>
        </w:rPr>
      </w:pPr>
    </w:p>
    <w:p w14:paraId="58C9B6C2" w14:textId="77777777" w:rsidR="007A0343" w:rsidRPr="007A0343" w:rsidRDefault="007A0343" w:rsidP="0081080A">
      <w:pPr>
        <w:pStyle w:val="Kop2"/>
        <w:rPr>
          <w:rFonts w:hint="eastAsia"/>
          <w:lang w:val="nl-NL"/>
        </w:rPr>
      </w:pPr>
      <w:bookmarkStart w:id="48" w:name="_Toc231804774"/>
      <w:r w:rsidRPr="007A0343">
        <w:rPr>
          <w:lang w:val="nl-NL"/>
        </w:rPr>
        <w:t>Het strategische beleggingsbeleid en het ingroeipad</w:t>
      </w:r>
      <w:bookmarkEnd w:id="48"/>
    </w:p>
    <w:p w14:paraId="4D752464" w14:textId="77777777" w:rsidR="007A0343" w:rsidRPr="007A0343" w:rsidRDefault="007A0343" w:rsidP="007A0343">
      <w:pPr>
        <w:rPr>
          <w:lang w:val="nl-NL"/>
        </w:rPr>
      </w:pPr>
    </w:p>
    <w:p w14:paraId="2201EA18" w14:textId="77777777" w:rsidR="007A0343" w:rsidRPr="0081080A" w:rsidRDefault="007A0343" w:rsidP="007A0343">
      <w:pPr>
        <w:rPr>
          <w:i/>
          <w:lang w:val="nl-NL"/>
        </w:rPr>
      </w:pPr>
      <w:r w:rsidRPr="0081080A">
        <w:rPr>
          <w:i/>
          <w:lang w:val="nl-NL"/>
        </w:rPr>
        <w:t>Strategisch beleggingsbeleid</w:t>
      </w:r>
    </w:p>
    <w:p w14:paraId="3E7E656C" w14:textId="47975C60" w:rsidR="00011774" w:rsidRPr="007A0343" w:rsidRDefault="007A0343" w:rsidP="00011774">
      <w:pPr>
        <w:rPr>
          <w:lang w:val="nl-NL"/>
        </w:rPr>
      </w:pPr>
      <w:r w:rsidRPr="007A0343">
        <w:rPr>
          <w:lang w:val="nl-NL"/>
        </w:rPr>
        <w:t xml:space="preserve">Het lange termijn strategisch beleggingsbeleid van </w:t>
      </w:r>
      <w:r w:rsidR="00191769">
        <w:rPr>
          <w:lang w:val="nl-NL"/>
        </w:rPr>
        <w:t>ons</w:t>
      </w:r>
      <w:r w:rsidR="00191769" w:rsidRPr="007A0343">
        <w:rPr>
          <w:lang w:val="nl-NL"/>
        </w:rPr>
        <w:t xml:space="preserve"> </w:t>
      </w:r>
      <w:r w:rsidRPr="007A0343">
        <w:rPr>
          <w:lang w:val="nl-NL"/>
        </w:rPr>
        <w:t xml:space="preserve">fonds wordt periodiek door middel van een ALM-studie bepaald en onderbouwd. </w:t>
      </w:r>
      <w:r w:rsidR="000971EB">
        <w:rPr>
          <w:lang w:val="nl-NL"/>
        </w:rPr>
        <w:t xml:space="preserve">Op basis van de pensioenovereenkomst per 1 januari 2019, waarin meer risico’s naar de deelnemers zijn verschoven en op basis van de groei van het beheerd vermogen </w:t>
      </w:r>
      <w:r w:rsidR="000E6641">
        <w:rPr>
          <w:lang w:val="nl-NL"/>
        </w:rPr>
        <w:t>was</w:t>
      </w:r>
      <w:r w:rsidR="000971EB">
        <w:rPr>
          <w:lang w:val="nl-NL"/>
        </w:rPr>
        <w:t xml:space="preserve"> er behoefte aan meer diversificatie in de portefeuille. Deze uitgangspunten zijn meegenomen in de ALM-studie van 20</w:t>
      </w:r>
      <w:r w:rsidR="000B6FF6">
        <w:rPr>
          <w:lang w:val="nl-NL"/>
        </w:rPr>
        <w:t>21</w:t>
      </w:r>
      <w:r w:rsidR="000971EB">
        <w:rPr>
          <w:lang w:val="nl-NL"/>
        </w:rPr>
        <w:t>, waarvan de uitkomsten de basis vormen van het door het bestuur vastgestelde plan met betrekking to</w:t>
      </w:r>
      <w:r w:rsidR="00A81215">
        <w:rPr>
          <w:lang w:val="nl-NL"/>
        </w:rPr>
        <w:t>t</w:t>
      </w:r>
      <w:r w:rsidR="000971EB">
        <w:rPr>
          <w:lang w:val="nl-NL"/>
        </w:rPr>
        <w:t xml:space="preserve"> het beleggings- en </w:t>
      </w:r>
      <w:r w:rsidR="00DB4B32">
        <w:rPr>
          <w:lang w:val="nl-NL"/>
        </w:rPr>
        <w:t>renteafdekkingsbeleid</w:t>
      </w:r>
      <w:r w:rsidR="000971EB">
        <w:rPr>
          <w:lang w:val="nl-NL"/>
        </w:rPr>
        <w:t>. Hierbij heeft het bestuur een asset allocatie vastgesteld die is afge</w:t>
      </w:r>
      <w:r w:rsidR="00A81215">
        <w:rPr>
          <w:lang w:val="nl-NL"/>
        </w:rPr>
        <w:t>s</w:t>
      </w:r>
      <w:r w:rsidR="000971EB">
        <w:rPr>
          <w:lang w:val="nl-NL"/>
        </w:rPr>
        <w:t xml:space="preserve">temd op de (gemiddelde) duratie van de pensioenverplichtingen. </w:t>
      </w:r>
    </w:p>
    <w:p w14:paraId="1205BDBF" w14:textId="77777777" w:rsidR="007A0343" w:rsidRPr="007A0343" w:rsidRDefault="007A0343" w:rsidP="007A0343">
      <w:pPr>
        <w:rPr>
          <w:lang w:val="nl-NL"/>
        </w:rPr>
      </w:pPr>
    </w:p>
    <w:p w14:paraId="014D163E" w14:textId="38635302" w:rsidR="007A0343" w:rsidRPr="007A0343" w:rsidRDefault="007A0343" w:rsidP="007A0343">
      <w:pPr>
        <w:rPr>
          <w:lang w:val="nl-NL"/>
        </w:rPr>
      </w:pPr>
      <w:r w:rsidRPr="007A0343">
        <w:rPr>
          <w:lang w:val="nl-NL"/>
        </w:rPr>
        <w:t>Het strategisch</w:t>
      </w:r>
      <w:r w:rsidR="000971EB">
        <w:rPr>
          <w:lang w:val="nl-NL"/>
        </w:rPr>
        <w:t>e</w:t>
      </w:r>
      <w:r w:rsidRPr="007A0343">
        <w:rPr>
          <w:lang w:val="nl-NL"/>
        </w:rPr>
        <w:t xml:space="preserve"> beleggingsbeleid is gericht op het laten toenemen </w:t>
      </w:r>
      <w:r w:rsidR="000E1433">
        <w:rPr>
          <w:lang w:val="nl-NL"/>
        </w:rPr>
        <w:t xml:space="preserve">en handhaven </w:t>
      </w:r>
      <w:r w:rsidRPr="007A0343">
        <w:rPr>
          <w:lang w:val="nl-NL"/>
        </w:rPr>
        <w:t>van de beleidsdekkingsgraad van het fonds, met als duale doelstelling het beschermen van de nominale pensioenaanspraken en –rechten en het nastreven van rendement om in de toekomst eventueel toeslagen te verlenen. Uiteraard geschiedt dit op een prudente wijze zodat wordt voldaan aan de beginselen van veiligheid, kwaliteit en r</w:t>
      </w:r>
      <w:r w:rsidR="0081080A">
        <w:rPr>
          <w:lang w:val="nl-NL"/>
        </w:rPr>
        <w:t>isicodiversificatie.</w:t>
      </w:r>
    </w:p>
    <w:p w14:paraId="055AF170" w14:textId="77777777" w:rsidR="007A0343" w:rsidRPr="007A0343" w:rsidRDefault="007A0343" w:rsidP="007A0343">
      <w:pPr>
        <w:rPr>
          <w:lang w:val="nl-NL"/>
        </w:rPr>
      </w:pPr>
    </w:p>
    <w:p w14:paraId="0CED0FE9" w14:textId="77777777" w:rsidR="007A0343" w:rsidRPr="007A0343" w:rsidRDefault="007A0343" w:rsidP="007A0343">
      <w:pPr>
        <w:rPr>
          <w:lang w:val="nl-NL"/>
        </w:rPr>
      </w:pPr>
      <w:r w:rsidRPr="007A0343">
        <w:rPr>
          <w:lang w:val="nl-NL"/>
        </w:rPr>
        <w:t>Bij het vaststellen van het bele</w:t>
      </w:r>
      <w:r w:rsidR="0081080A">
        <w:rPr>
          <w:lang w:val="nl-NL"/>
        </w:rPr>
        <w:t>id wordt rekening gehouden met:</w:t>
      </w:r>
    </w:p>
    <w:p w14:paraId="7D8821C9" w14:textId="77777777" w:rsidR="007A0343" w:rsidRPr="0081080A" w:rsidRDefault="0023776C" w:rsidP="001E699B">
      <w:pPr>
        <w:pStyle w:val="Lijstalinea"/>
        <w:numPr>
          <w:ilvl w:val="0"/>
          <w:numId w:val="22"/>
        </w:numPr>
        <w:rPr>
          <w:lang w:val="nl-NL"/>
        </w:rPr>
      </w:pPr>
      <w:r>
        <w:rPr>
          <w:lang w:val="nl-NL"/>
        </w:rPr>
        <w:t>D</w:t>
      </w:r>
      <w:r w:rsidR="007A0343" w:rsidRPr="0081080A">
        <w:rPr>
          <w:lang w:val="nl-NL"/>
        </w:rPr>
        <w:t>e uitkomsten van de ALM-studie en (aanvangs-)haalbaarheidstoets</w:t>
      </w:r>
      <w:r>
        <w:rPr>
          <w:lang w:val="nl-NL"/>
        </w:rPr>
        <w:t>.</w:t>
      </w:r>
    </w:p>
    <w:p w14:paraId="6A85092B" w14:textId="14BFA785" w:rsidR="007A0343" w:rsidRPr="0081080A" w:rsidRDefault="0023776C" w:rsidP="001E699B">
      <w:pPr>
        <w:pStyle w:val="Lijstalinea"/>
        <w:numPr>
          <w:ilvl w:val="0"/>
          <w:numId w:val="22"/>
        </w:numPr>
        <w:rPr>
          <w:lang w:val="nl-NL"/>
        </w:rPr>
      </w:pPr>
      <w:r>
        <w:rPr>
          <w:lang w:val="nl-NL"/>
        </w:rPr>
        <w:t>D</w:t>
      </w:r>
      <w:r w:rsidR="007A0343" w:rsidRPr="0081080A">
        <w:rPr>
          <w:lang w:val="nl-NL"/>
        </w:rPr>
        <w:t>e risic</w:t>
      </w:r>
      <w:r w:rsidR="0081080A">
        <w:rPr>
          <w:lang w:val="nl-NL"/>
        </w:rPr>
        <w:t xml:space="preserve">ohouding van </w:t>
      </w:r>
      <w:r w:rsidR="00FA7671">
        <w:rPr>
          <w:lang w:val="nl-NL"/>
        </w:rPr>
        <w:t xml:space="preserve">ons </w:t>
      </w:r>
      <w:r w:rsidR="0081080A">
        <w:rPr>
          <w:lang w:val="nl-NL"/>
        </w:rPr>
        <w:t>fonds</w:t>
      </w:r>
      <w:r>
        <w:rPr>
          <w:lang w:val="nl-NL"/>
        </w:rPr>
        <w:t>.</w:t>
      </w:r>
    </w:p>
    <w:p w14:paraId="0CBDB148" w14:textId="77777777" w:rsidR="007A0343" w:rsidRPr="0081080A" w:rsidRDefault="0023776C" w:rsidP="001E699B">
      <w:pPr>
        <w:pStyle w:val="Lijstalinea"/>
        <w:numPr>
          <w:ilvl w:val="0"/>
          <w:numId w:val="22"/>
        </w:numPr>
        <w:rPr>
          <w:lang w:val="nl-NL"/>
        </w:rPr>
      </w:pPr>
      <w:r>
        <w:rPr>
          <w:lang w:val="nl-NL"/>
        </w:rPr>
        <w:t>D</w:t>
      </w:r>
      <w:r w:rsidR="007A0343" w:rsidRPr="0081080A">
        <w:rPr>
          <w:lang w:val="nl-NL"/>
        </w:rPr>
        <w:t xml:space="preserve">e eisen ten aanzien van beleggingen die voortvloeien uit de Pensioenwet, het </w:t>
      </w:r>
      <w:r w:rsidR="001D4DD9">
        <w:rPr>
          <w:lang w:val="nl-NL"/>
        </w:rPr>
        <w:t>F</w:t>
      </w:r>
      <w:r w:rsidR="007A0343" w:rsidRPr="0081080A">
        <w:rPr>
          <w:lang w:val="nl-NL"/>
        </w:rPr>
        <w:t xml:space="preserve">inancieel </w:t>
      </w:r>
      <w:r w:rsidR="001D4DD9">
        <w:rPr>
          <w:lang w:val="nl-NL"/>
        </w:rPr>
        <w:t>T</w:t>
      </w:r>
      <w:r w:rsidR="007A0343" w:rsidRPr="0081080A">
        <w:rPr>
          <w:lang w:val="nl-NL"/>
        </w:rPr>
        <w:t>oetsingskader, richtlijnen van DNB en eventuele lagere regelgeving.</w:t>
      </w:r>
    </w:p>
    <w:p w14:paraId="6446D7E4" w14:textId="77777777" w:rsidR="007A0343" w:rsidRPr="007A0343" w:rsidRDefault="007A0343" w:rsidP="007A0343">
      <w:pPr>
        <w:rPr>
          <w:lang w:val="nl-NL"/>
        </w:rPr>
      </w:pPr>
    </w:p>
    <w:p w14:paraId="0CD543A3" w14:textId="6B71A4B2" w:rsidR="007A0343" w:rsidRPr="007A0343" w:rsidRDefault="007A0343" w:rsidP="007A0343">
      <w:pPr>
        <w:rPr>
          <w:lang w:val="nl-NL"/>
        </w:rPr>
      </w:pPr>
      <w:r w:rsidRPr="007A0343">
        <w:rPr>
          <w:lang w:val="nl-NL"/>
        </w:rPr>
        <w:t xml:space="preserve">In het beleid komen de </w:t>
      </w:r>
      <w:r w:rsidR="00CF69EA">
        <w:rPr>
          <w:lang w:val="nl-NL"/>
        </w:rPr>
        <w:t>strategische (</w:t>
      </w:r>
      <w:r w:rsidRPr="007A0343">
        <w:rPr>
          <w:lang w:val="nl-NL"/>
        </w:rPr>
        <w:t>benchmark</w:t>
      </w:r>
      <w:r w:rsidR="00CF69EA">
        <w:rPr>
          <w:lang w:val="nl-NL"/>
        </w:rPr>
        <w:t>)</w:t>
      </w:r>
      <w:r w:rsidRPr="007A0343">
        <w:rPr>
          <w:lang w:val="nl-NL"/>
        </w:rPr>
        <w:t xml:space="preserve"> beleggingsportefeuille en het beleid met betrekking tot het afdekken van renterisico en het valutarisico tot uitdrukking.</w:t>
      </w:r>
    </w:p>
    <w:p w14:paraId="6C9076B7" w14:textId="77777777" w:rsidR="0081080A" w:rsidRDefault="0081080A" w:rsidP="007A0343">
      <w:pPr>
        <w:rPr>
          <w:lang w:val="nl-NL"/>
        </w:rPr>
      </w:pPr>
    </w:p>
    <w:p w14:paraId="7D2734A7" w14:textId="639B0862" w:rsidR="004E44F1" w:rsidRDefault="007A0343" w:rsidP="007A0343">
      <w:pPr>
        <w:rPr>
          <w:lang w:val="nl-NL"/>
        </w:rPr>
      </w:pPr>
      <w:r w:rsidRPr="007A0343">
        <w:rPr>
          <w:lang w:val="nl-NL"/>
        </w:rPr>
        <w:t>De balans wordt primair ingericht middels een matching portefeuille en een return portefeuille en ziet er als volgt uit:</w:t>
      </w:r>
    </w:p>
    <w:p w14:paraId="641BD357" w14:textId="77777777" w:rsidR="004E44F1" w:rsidRDefault="004E44F1" w:rsidP="00B62A4E">
      <w:pPr>
        <w:rPr>
          <w:lang w:val="nl-NL"/>
        </w:rPr>
      </w:pPr>
    </w:p>
    <w:tbl>
      <w:tblPr>
        <w:tblStyle w:val="Tabelraster"/>
        <w:tblW w:w="0" w:type="auto"/>
        <w:tblBorders>
          <w:top w:val="single" w:sz="4" w:space="0" w:color="00AFD2" w:themeColor="accent1"/>
          <w:left w:val="single" w:sz="4" w:space="0" w:color="00AFD2" w:themeColor="accent1"/>
          <w:bottom w:val="single" w:sz="4" w:space="0" w:color="00AFD2" w:themeColor="accent1"/>
          <w:right w:val="single" w:sz="4" w:space="0" w:color="00AFD2" w:themeColor="accent1"/>
          <w:insideH w:val="single" w:sz="4" w:space="0" w:color="00AFD2" w:themeColor="accent1"/>
          <w:insideV w:val="single" w:sz="4" w:space="0" w:color="00AFD2" w:themeColor="accent1"/>
        </w:tblBorders>
        <w:tblLook w:val="04A0" w:firstRow="1" w:lastRow="0" w:firstColumn="1" w:lastColumn="0" w:noHBand="0" w:noVBand="1"/>
      </w:tblPr>
      <w:tblGrid>
        <w:gridCol w:w="3030"/>
        <w:gridCol w:w="3013"/>
        <w:gridCol w:w="3018"/>
      </w:tblGrid>
      <w:tr w:rsidR="0081080A" w:rsidRPr="0081080A" w14:paraId="2C02EE19" w14:textId="77777777" w:rsidTr="00177A54">
        <w:tc>
          <w:tcPr>
            <w:tcW w:w="3030" w:type="dxa"/>
            <w:shd w:val="clear" w:color="auto" w:fill="00AFD2" w:themeFill="accent1"/>
          </w:tcPr>
          <w:p w14:paraId="1A87A75F" w14:textId="77777777" w:rsidR="0081080A" w:rsidRPr="0081080A" w:rsidRDefault="0081080A" w:rsidP="0081080A">
            <w:pPr>
              <w:spacing w:before="20" w:after="20"/>
              <w:jc w:val="center"/>
              <w:rPr>
                <w:b/>
                <w:color w:val="FFFFFF" w:themeColor="background1"/>
                <w:lang w:val="nl-NL"/>
              </w:rPr>
            </w:pPr>
          </w:p>
        </w:tc>
        <w:tc>
          <w:tcPr>
            <w:tcW w:w="3013" w:type="dxa"/>
            <w:shd w:val="clear" w:color="auto" w:fill="00AFD2" w:themeFill="accent1"/>
          </w:tcPr>
          <w:p w14:paraId="612C972A" w14:textId="77777777" w:rsidR="0081080A" w:rsidRPr="0081080A" w:rsidRDefault="0081080A" w:rsidP="0081080A">
            <w:pPr>
              <w:spacing w:before="20" w:after="20"/>
              <w:jc w:val="center"/>
              <w:rPr>
                <w:b/>
                <w:color w:val="FFFFFF" w:themeColor="background1"/>
                <w:lang w:val="nl-NL"/>
              </w:rPr>
            </w:pPr>
            <w:r w:rsidRPr="0081080A">
              <w:rPr>
                <w:b/>
                <w:color w:val="FFFFFF" w:themeColor="background1"/>
                <w:lang w:val="nl-NL"/>
              </w:rPr>
              <w:t>Strategisch gewicht</w:t>
            </w:r>
          </w:p>
        </w:tc>
        <w:tc>
          <w:tcPr>
            <w:tcW w:w="3018" w:type="dxa"/>
            <w:shd w:val="clear" w:color="auto" w:fill="00AFD2" w:themeFill="accent1"/>
          </w:tcPr>
          <w:p w14:paraId="06B0142E" w14:textId="77777777" w:rsidR="0081080A" w:rsidRPr="0081080A" w:rsidRDefault="0081080A" w:rsidP="0081080A">
            <w:pPr>
              <w:spacing w:before="20" w:after="20"/>
              <w:jc w:val="center"/>
              <w:rPr>
                <w:b/>
                <w:color w:val="FFFFFF" w:themeColor="background1"/>
                <w:lang w:val="nl-NL"/>
              </w:rPr>
            </w:pPr>
            <w:r w:rsidRPr="0081080A">
              <w:rPr>
                <w:b/>
                <w:color w:val="FFFFFF" w:themeColor="background1"/>
                <w:lang w:val="nl-NL"/>
              </w:rPr>
              <w:t>Toegestane bandbreedte</w:t>
            </w:r>
          </w:p>
        </w:tc>
      </w:tr>
      <w:tr w:rsidR="0081080A" w:rsidRPr="0081080A" w14:paraId="036A7314" w14:textId="77777777" w:rsidTr="00177A54">
        <w:tc>
          <w:tcPr>
            <w:tcW w:w="3030" w:type="dxa"/>
          </w:tcPr>
          <w:p w14:paraId="0774F034" w14:textId="77777777" w:rsidR="0081080A" w:rsidRPr="0081080A" w:rsidRDefault="0081080A" w:rsidP="0081080A">
            <w:pPr>
              <w:spacing w:before="20" w:after="20"/>
              <w:rPr>
                <w:b/>
                <w:lang w:val="nl-NL"/>
              </w:rPr>
            </w:pPr>
            <w:r w:rsidRPr="0081080A">
              <w:rPr>
                <w:b/>
                <w:lang w:val="nl-NL"/>
              </w:rPr>
              <w:t>Return portefeuille</w:t>
            </w:r>
          </w:p>
        </w:tc>
        <w:tc>
          <w:tcPr>
            <w:tcW w:w="3013" w:type="dxa"/>
          </w:tcPr>
          <w:p w14:paraId="2C2FBA6E" w14:textId="55743404" w:rsidR="0081080A" w:rsidRPr="0081080A" w:rsidRDefault="000E1433" w:rsidP="0081080A">
            <w:pPr>
              <w:spacing w:before="20" w:after="20"/>
              <w:jc w:val="center"/>
              <w:rPr>
                <w:lang w:val="nl-NL"/>
              </w:rPr>
            </w:pPr>
            <w:r>
              <w:rPr>
                <w:lang w:val="nl-NL"/>
              </w:rPr>
              <w:t>50%</w:t>
            </w:r>
          </w:p>
        </w:tc>
        <w:tc>
          <w:tcPr>
            <w:tcW w:w="3018" w:type="dxa"/>
          </w:tcPr>
          <w:p w14:paraId="3E0FE900" w14:textId="65FC5172" w:rsidR="0081080A" w:rsidRPr="0081080A" w:rsidRDefault="000E1433" w:rsidP="0081080A">
            <w:pPr>
              <w:spacing w:before="20" w:after="20"/>
              <w:jc w:val="center"/>
              <w:rPr>
                <w:lang w:val="nl-NL"/>
              </w:rPr>
            </w:pPr>
            <w:r>
              <w:rPr>
                <w:lang w:val="nl-NL"/>
              </w:rPr>
              <w:t>40%-60%</w:t>
            </w:r>
          </w:p>
        </w:tc>
      </w:tr>
      <w:tr w:rsidR="0081080A" w:rsidRPr="0081080A" w14:paraId="210A484C" w14:textId="77777777" w:rsidTr="00177A54">
        <w:tc>
          <w:tcPr>
            <w:tcW w:w="3030" w:type="dxa"/>
          </w:tcPr>
          <w:p w14:paraId="25CD8415" w14:textId="77777777" w:rsidR="0081080A" w:rsidRPr="0081080A" w:rsidRDefault="0081080A" w:rsidP="0081080A">
            <w:pPr>
              <w:spacing w:before="20" w:after="20"/>
              <w:rPr>
                <w:b/>
                <w:lang w:val="nl-NL"/>
              </w:rPr>
            </w:pPr>
            <w:r w:rsidRPr="0081080A">
              <w:rPr>
                <w:b/>
                <w:lang w:val="nl-NL"/>
              </w:rPr>
              <w:t>Matching portefeuille</w:t>
            </w:r>
          </w:p>
        </w:tc>
        <w:tc>
          <w:tcPr>
            <w:tcW w:w="3013" w:type="dxa"/>
          </w:tcPr>
          <w:p w14:paraId="5850EDD9" w14:textId="6DDE183F" w:rsidR="0081080A" w:rsidRPr="0081080A" w:rsidRDefault="000E1433" w:rsidP="0081080A">
            <w:pPr>
              <w:spacing w:before="20" w:after="20"/>
              <w:jc w:val="center"/>
              <w:rPr>
                <w:lang w:val="nl-NL"/>
              </w:rPr>
            </w:pPr>
            <w:r>
              <w:rPr>
                <w:lang w:val="nl-NL"/>
              </w:rPr>
              <w:t>50%</w:t>
            </w:r>
          </w:p>
        </w:tc>
        <w:tc>
          <w:tcPr>
            <w:tcW w:w="3018" w:type="dxa"/>
          </w:tcPr>
          <w:p w14:paraId="33C17DF7" w14:textId="569756C9" w:rsidR="0081080A" w:rsidRPr="0081080A" w:rsidRDefault="000E1433" w:rsidP="0081080A">
            <w:pPr>
              <w:spacing w:before="20" w:after="20"/>
              <w:jc w:val="center"/>
              <w:rPr>
                <w:lang w:val="nl-NL"/>
              </w:rPr>
            </w:pPr>
            <w:r>
              <w:rPr>
                <w:lang w:val="nl-NL"/>
              </w:rPr>
              <w:t>40%-60%</w:t>
            </w:r>
          </w:p>
        </w:tc>
      </w:tr>
      <w:tr w:rsidR="0081080A" w:rsidRPr="0081080A" w14:paraId="1FD00362" w14:textId="77777777" w:rsidTr="00177A54">
        <w:tc>
          <w:tcPr>
            <w:tcW w:w="3030" w:type="dxa"/>
          </w:tcPr>
          <w:p w14:paraId="22843DBD" w14:textId="06E9458C" w:rsidR="0081080A" w:rsidRPr="0081080A" w:rsidRDefault="0081080A" w:rsidP="0081080A">
            <w:pPr>
              <w:spacing w:before="20" w:after="20"/>
              <w:rPr>
                <w:b/>
                <w:lang w:val="nl-NL"/>
              </w:rPr>
            </w:pPr>
            <w:r w:rsidRPr="0081080A">
              <w:rPr>
                <w:b/>
                <w:lang w:val="nl-NL"/>
              </w:rPr>
              <w:t>Renteafdekking</w:t>
            </w:r>
            <w:r w:rsidR="000E1433">
              <w:rPr>
                <w:b/>
                <w:lang w:val="nl-NL"/>
              </w:rPr>
              <w:t xml:space="preserve">  (markt)</w:t>
            </w:r>
          </w:p>
        </w:tc>
        <w:tc>
          <w:tcPr>
            <w:tcW w:w="3013" w:type="dxa"/>
          </w:tcPr>
          <w:p w14:paraId="464142FE" w14:textId="2670D968" w:rsidR="0081080A" w:rsidRPr="0081080A" w:rsidRDefault="0001183E" w:rsidP="0081080A">
            <w:pPr>
              <w:spacing w:before="20" w:after="20"/>
              <w:jc w:val="center"/>
              <w:rPr>
                <w:lang w:val="nl-NL"/>
              </w:rPr>
            </w:pPr>
            <w:r>
              <w:rPr>
                <w:lang w:val="nl-NL"/>
              </w:rPr>
              <w:t>6</w:t>
            </w:r>
            <w:r w:rsidR="00A3617A">
              <w:rPr>
                <w:lang w:val="nl-NL"/>
              </w:rPr>
              <w:t>0</w:t>
            </w:r>
            <w:r w:rsidR="000E1433">
              <w:rPr>
                <w:lang w:val="nl-NL"/>
              </w:rPr>
              <w:t>%</w:t>
            </w:r>
          </w:p>
        </w:tc>
        <w:tc>
          <w:tcPr>
            <w:tcW w:w="3018" w:type="dxa"/>
          </w:tcPr>
          <w:p w14:paraId="50B3E11D" w14:textId="525128D2" w:rsidR="0081080A" w:rsidRPr="0081080A" w:rsidRDefault="00A13327" w:rsidP="0081080A">
            <w:pPr>
              <w:spacing w:before="20" w:after="20"/>
              <w:jc w:val="center"/>
              <w:rPr>
                <w:lang w:val="nl-NL"/>
              </w:rPr>
            </w:pPr>
            <w:r>
              <w:rPr>
                <w:lang w:val="nl-NL"/>
              </w:rPr>
              <w:t>40%-</w:t>
            </w:r>
            <w:r w:rsidR="000E1433">
              <w:rPr>
                <w:lang w:val="nl-NL"/>
              </w:rPr>
              <w:t>85%</w:t>
            </w:r>
          </w:p>
        </w:tc>
      </w:tr>
      <w:tr w:rsidR="0081080A" w:rsidRPr="0081080A" w14:paraId="4826FB98" w14:textId="77777777" w:rsidTr="00177A54">
        <w:tc>
          <w:tcPr>
            <w:tcW w:w="3030" w:type="dxa"/>
          </w:tcPr>
          <w:p w14:paraId="0A1E8505" w14:textId="1B608857" w:rsidR="0081080A" w:rsidRPr="0081080A" w:rsidRDefault="0081080A" w:rsidP="0081080A">
            <w:pPr>
              <w:spacing w:before="20" w:after="20"/>
              <w:rPr>
                <w:b/>
                <w:lang w:val="nl-NL"/>
              </w:rPr>
            </w:pPr>
            <w:r w:rsidRPr="0081080A">
              <w:rPr>
                <w:b/>
                <w:lang w:val="nl-NL"/>
              </w:rPr>
              <w:t>Vereist Eigen Vermogen*</w:t>
            </w:r>
          </w:p>
        </w:tc>
        <w:tc>
          <w:tcPr>
            <w:tcW w:w="3013" w:type="dxa"/>
          </w:tcPr>
          <w:p w14:paraId="4FE1D00E" w14:textId="55E396E1" w:rsidR="0081080A" w:rsidRPr="0081080A" w:rsidRDefault="00521C76" w:rsidP="0081080A">
            <w:pPr>
              <w:spacing w:before="20" w:after="20"/>
              <w:jc w:val="center"/>
              <w:rPr>
                <w:lang w:val="nl-NL"/>
              </w:rPr>
            </w:pPr>
            <w:r>
              <w:rPr>
                <w:lang w:val="nl-NL"/>
              </w:rPr>
              <w:t>20</w:t>
            </w:r>
            <w:r w:rsidR="0081080A" w:rsidRPr="0081080A">
              <w:rPr>
                <w:lang w:val="nl-NL"/>
              </w:rPr>
              <w:t>%</w:t>
            </w:r>
          </w:p>
        </w:tc>
        <w:tc>
          <w:tcPr>
            <w:tcW w:w="3018" w:type="dxa"/>
          </w:tcPr>
          <w:p w14:paraId="24F78E9E" w14:textId="67CA7BEE" w:rsidR="0081080A" w:rsidRPr="0081080A" w:rsidRDefault="00737DF5" w:rsidP="0081080A">
            <w:pPr>
              <w:spacing w:before="20" w:after="20"/>
              <w:jc w:val="center"/>
              <w:rPr>
                <w:lang w:val="nl-NL"/>
              </w:rPr>
            </w:pPr>
            <w:r>
              <w:rPr>
                <w:lang w:val="nl-NL"/>
              </w:rPr>
              <w:t>10%-23%</w:t>
            </w:r>
          </w:p>
        </w:tc>
      </w:tr>
    </w:tbl>
    <w:p w14:paraId="4428596E" w14:textId="77777777" w:rsidR="00B62A4E" w:rsidRDefault="00B62A4E" w:rsidP="00451E81">
      <w:pPr>
        <w:rPr>
          <w:lang w:val="nl-NL"/>
        </w:rPr>
      </w:pPr>
    </w:p>
    <w:p w14:paraId="05BFD609" w14:textId="77777777" w:rsidR="0081080A" w:rsidRPr="0081080A" w:rsidRDefault="0081080A" w:rsidP="0081080A">
      <w:pPr>
        <w:ind w:left="426" w:hanging="426"/>
        <w:rPr>
          <w:lang w:val="nl-NL"/>
        </w:rPr>
      </w:pPr>
    </w:p>
    <w:p w14:paraId="2B82BC23" w14:textId="216F9769" w:rsidR="0081080A" w:rsidRPr="00177A54" w:rsidRDefault="0081080A" w:rsidP="0081080A">
      <w:pPr>
        <w:ind w:left="426" w:hanging="426"/>
        <w:rPr>
          <w:highlight w:val="yellow"/>
          <w:lang w:val="nl-NL"/>
        </w:rPr>
      </w:pPr>
      <w:r w:rsidRPr="00E25521">
        <w:rPr>
          <w:lang w:val="nl-NL"/>
        </w:rPr>
        <w:t>*</w:t>
      </w:r>
      <w:r w:rsidRPr="00E25521">
        <w:rPr>
          <w:lang w:val="nl-NL"/>
        </w:rPr>
        <w:tab/>
        <w:t>De risicohouding op korte termijn (1 jaar) komt tot uitdrukking in het niveau van het vereist eigen vermogen. Naargelang het strategisch</w:t>
      </w:r>
      <w:r w:rsidR="000E1433" w:rsidRPr="00E25521">
        <w:rPr>
          <w:lang w:val="nl-NL"/>
        </w:rPr>
        <w:t>e</w:t>
      </w:r>
      <w:r w:rsidRPr="00E25521">
        <w:rPr>
          <w:lang w:val="nl-NL"/>
        </w:rPr>
        <w:t xml:space="preserve"> beleggingsbeleid of de feitelijke samenstelling van de </w:t>
      </w:r>
      <w:r w:rsidRPr="00E25521">
        <w:rPr>
          <w:lang w:val="nl-NL"/>
        </w:rPr>
        <w:lastRenderedPageBreak/>
        <w:t xml:space="preserve">balans risicovoller is, is het vereist eigen vermogen hoger. </w:t>
      </w:r>
      <w:r w:rsidR="00B840DE" w:rsidRPr="00E25521">
        <w:rPr>
          <w:lang w:val="nl-NL"/>
        </w:rPr>
        <w:t>Het vereist eigen vermogen wordt maandelijks gemonitord.</w:t>
      </w:r>
    </w:p>
    <w:p w14:paraId="51784C47" w14:textId="77777777" w:rsidR="0081080A" w:rsidRPr="00177A54" w:rsidRDefault="0081080A" w:rsidP="0081080A">
      <w:pPr>
        <w:ind w:left="426" w:hanging="426"/>
        <w:rPr>
          <w:highlight w:val="yellow"/>
          <w:lang w:val="nl-NL"/>
        </w:rPr>
      </w:pPr>
    </w:p>
    <w:p w14:paraId="6A6C51CA" w14:textId="77777777" w:rsidR="0081080A" w:rsidRDefault="0081080A" w:rsidP="00451E81">
      <w:pPr>
        <w:rPr>
          <w:lang w:val="nl-NL"/>
        </w:rPr>
      </w:pPr>
    </w:p>
    <w:p w14:paraId="588AA0AD" w14:textId="77777777" w:rsidR="0081080A" w:rsidRDefault="0081080A" w:rsidP="00451E81">
      <w:pPr>
        <w:rPr>
          <w:lang w:val="nl-NL"/>
        </w:rPr>
      </w:pPr>
      <w:r w:rsidRPr="0081080A">
        <w:rPr>
          <w:lang w:val="nl-NL"/>
        </w:rPr>
        <w:t>Vanuit de ALM-studie en strategische allocatie verloopt het beleggingsproces zoals hieronder weergegeven.</w:t>
      </w:r>
    </w:p>
    <w:p w14:paraId="33A89368" w14:textId="77777777" w:rsidR="00335E67" w:rsidRDefault="00335E67" w:rsidP="00451E81">
      <w:pPr>
        <w:rPr>
          <w:lang w:val="nl-NL"/>
        </w:rPr>
      </w:pPr>
    </w:p>
    <w:p w14:paraId="75C2B503" w14:textId="49A72A67" w:rsidR="00335E67" w:rsidRDefault="00335E67" w:rsidP="00451E81">
      <w:pPr>
        <w:rPr>
          <w:lang w:val="nl-NL"/>
        </w:rPr>
      </w:pPr>
      <w:r w:rsidRPr="00D4632A">
        <w:rPr>
          <w:noProof/>
          <w:szCs w:val="20"/>
          <w:lang w:val="en-GB" w:eastAsia="en-GB"/>
        </w:rPr>
        <w:drawing>
          <wp:anchor distT="0" distB="0" distL="114300" distR="114300" simplePos="0" relativeHeight="251658241" behindDoc="1" locked="0" layoutInCell="1" allowOverlap="1" wp14:anchorId="2D128411" wp14:editId="3A614110">
            <wp:simplePos x="0" y="0"/>
            <wp:positionH relativeFrom="page">
              <wp:posOffset>900430</wp:posOffset>
            </wp:positionH>
            <wp:positionV relativeFrom="paragraph">
              <wp:posOffset>-635</wp:posOffset>
            </wp:positionV>
            <wp:extent cx="5505450" cy="2939314"/>
            <wp:effectExtent l="0" t="0" r="0" b="0"/>
            <wp:wrapNone/>
            <wp:docPr id="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05450" cy="29393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01640B" w14:textId="2A6F8102" w:rsidR="0081080A" w:rsidRPr="007923CB" w:rsidRDefault="00D649AD" w:rsidP="007923CB">
      <w:pPr>
        <w:spacing w:after="200" w:line="276" w:lineRule="auto"/>
        <w:rPr>
          <w:lang w:val="nl-NL"/>
        </w:rPr>
      </w:pPr>
      <w:r>
        <w:rPr>
          <w:lang w:val="nl-NL"/>
        </w:rPr>
        <w:br w:type="page"/>
      </w:r>
      <w:r w:rsidR="0081080A" w:rsidRPr="0081080A">
        <w:rPr>
          <w:i/>
          <w:lang w:val="nl-NL"/>
        </w:rPr>
        <w:lastRenderedPageBreak/>
        <w:t>Startend</w:t>
      </w:r>
      <w:r w:rsidR="00714E6D">
        <w:rPr>
          <w:i/>
          <w:lang w:val="nl-NL"/>
        </w:rPr>
        <w:t xml:space="preserve"> pensioen</w:t>
      </w:r>
      <w:r w:rsidR="0081080A" w:rsidRPr="0081080A">
        <w:rPr>
          <w:i/>
          <w:lang w:val="nl-NL"/>
        </w:rPr>
        <w:t>fonds: ingroeipad, de weg naar de strategische vermogensverdeling</w:t>
      </w:r>
    </w:p>
    <w:p w14:paraId="1167DB1B" w14:textId="2C3EAEB9" w:rsidR="0081080A" w:rsidRDefault="00924530" w:rsidP="0081080A">
      <w:pPr>
        <w:rPr>
          <w:lang w:val="nl-NL"/>
        </w:rPr>
      </w:pPr>
      <w:r>
        <w:rPr>
          <w:lang w:val="nl-NL"/>
        </w:rPr>
        <w:t>Ons</w:t>
      </w:r>
      <w:r w:rsidRPr="0081080A">
        <w:rPr>
          <w:lang w:val="nl-NL"/>
        </w:rPr>
        <w:t xml:space="preserve"> </w:t>
      </w:r>
      <w:r w:rsidR="0081080A" w:rsidRPr="0081080A">
        <w:rPr>
          <w:lang w:val="nl-NL"/>
        </w:rPr>
        <w:t xml:space="preserve">fonds heeft begin 2014 de eerste premies ontvangen. De actuele weging van de vermogenscategorieën stond bij </w:t>
      </w:r>
      <w:r>
        <w:rPr>
          <w:lang w:val="nl-NL"/>
        </w:rPr>
        <w:t>ons</w:t>
      </w:r>
      <w:r w:rsidRPr="0081080A">
        <w:rPr>
          <w:lang w:val="nl-NL"/>
        </w:rPr>
        <w:t xml:space="preserve"> </w:t>
      </w:r>
      <w:r w:rsidR="0081080A" w:rsidRPr="0081080A">
        <w:rPr>
          <w:lang w:val="nl-NL"/>
        </w:rPr>
        <w:t xml:space="preserve">fonds aan het begin van 2014 dan ook op nul. </w:t>
      </w:r>
      <w:r w:rsidR="00B840DE">
        <w:rPr>
          <w:lang w:val="nl-NL"/>
        </w:rPr>
        <w:t>In h</w:t>
      </w:r>
      <w:r w:rsidR="0081080A" w:rsidRPr="0081080A">
        <w:rPr>
          <w:lang w:val="nl-NL"/>
        </w:rPr>
        <w:t xml:space="preserve">et beleid is </w:t>
      </w:r>
      <w:r w:rsidR="00B840DE">
        <w:rPr>
          <w:lang w:val="nl-NL"/>
        </w:rPr>
        <w:t xml:space="preserve">destijds rekening gehouden met </w:t>
      </w:r>
      <w:r w:rsidR="0081080A" w:rsidRPr="0081080A">
        <w:rPr>
          <w:lang w:val="nl-NL"/>
        </w:rPr>
        <w:t xml:space="preserve">de praktijk van een startend pensioenfonds. Essentieel hierbij is stuurbaarheid, transparantie en controleerbaarheid. </w:t>
      </w:r>
      <w:r w:rsidR="00B840DE">
        <w:rPr>
          <w:lang w:val="nl-NL"/>
        </w:rPr>
        <w:t>V</w:t>
      </w:r>
      <w:r w:rsidR="0081080A" w:rsidRPr="0081080A">
        <w:rPr>
          <w:lang w:val="nl-NL"/>
        </w:rPr>
        <w:t xml:space="preserve">anuit risicoperspectief </w:t>
      </w:r>
      <w:r w:rsidR="00B840DE">
        <w:rPr>
          <w:lang w:val="nl-NL"/>
        </w:rPr>
        <w:t xml:space="preserve">is dan ook </w:t>
      </w:r>
      <w:r w:rsidR="0081080A" w:rsidRPr="0081080A">
        <w:rPr>
          <w:lang w:val="nl-NL"/>
        </w:rPr>
        <w:t>gekozen voor een ingroeipad, waarbij de kernelementen in de portefeuille eerst ingevuld w</w:t>
      </w:r>
      <w:r w:rsidR="00FC57CB">
        <w:rPr>
          <w:lang w:val="nl-NL"/>
        </w:rPr>
        <w:t>e</w:t>
      </w:r>
      <w:r w:rsidR="0081080A" w:rsidRPr="0081080A">
        <w:rPr>
          <w:lang w:val="nl-NL"/>
        </w:rPr>
        <w:t>rden. Die kernelementen zijn allereerst gericht op het voor een belangrijk deel afdekken van het renterisico via vastrentende waarden (in de matching portefeuille) en het behalen van rendementen op zakelijke waarden (aandelen</w:t>
      </w:r>
      <w:r w:rsidR="00E73E5E">
        <w:rPr>
          <w:lang w:val="nl-NL"/>
        </w:rPr>
        <w:t>, bedrijfsobligaties</w:t>
      </w:r>
      <w:r w:rsidR="0081080A" w:rsidRPr="0081080A">
        <w:rPr>
          <w:lang w:val="nl-NL"/>
        </w:rPr>
        <w:t xml:space="preserve"> en vastgoed, in de return portefeuille), waarmee tevens het inflatierisico voor een deel afgedekt kan worden.</w:t>
      </w:r>
      <w:r w:rsidR="0007286C">
        <w:rPr>
          <w:lang w:val="nl-NL"/>
        </w:rPr>
        <w:t xml:space="preserve"> </w:t>
      </w:r>
      <w:r w:rsidR="005052F6">
        <w:rPr>
          <w:lang w:val="nl-NL"/>
        </w:rPr>
        <w:t>Dit ingroeipad is gerealiseerd eind 2017. In de periode 2018-2021</w:t>
      </w:r>
      <w:r w:rsidR="00621EF0">
        <w:rPr>
          <w:lang w:val="nl-NL"/>
        </w:rPr>
        <w:t xml:space="preserve"> is de portefeuille uitgebreid met investment grade en high yield bedrijfsobligaties, terwijl in 2021 een aanvang gemaakt is met de verdere diversificatie van de vastgoedportefeuille</w:t>
      </w:r>
      <w:r w:rsidR="009A0F7B">
        <w:rPr>
          <w:lang w:val="nl-NL"/>
        </w:rPr>
        <w:t xml:space="preserve">: deze is begin 2023 </w:t>
      </w:r>
      <w:r w:rsidR="007B5422">
        <w:rPr>
          <w:lang w:val="nl-NL"/>
        </w:rPr>
        <w:t>afgerond</w:t>
      </w:r>
      <w:r w:rsidR="00621EF0">
        <w:rPr>
          <w:lang w:val="nl-NL"/>
        </w:rPr>
        <w:t>.</w:t>
      </w:r>
      <w:r w:rsidR="00023192">
        <w:rPr>
          <w:lang w:val="nl-NL"/>
        </w:rPr>
        <w:t xml:space="preserve"> In 2022 zijn Nederlandse woninghypotheken opgenomen in de matching portefeuille</w:t>
      </w:r>
      <w:r w:rsidR="005E4C2D">
        <w:rPr>
          <w:lang w:val="nl-NL"/>
        </w:rPr>
        <w:t>.</w:t>
      </w:r>
      <w:r w:rsidR="003F35B4">
        <w:rPr>
          <w:lang w:val="nl-NL"/>
        </w:rPr>
        <w:t xml:space="preserve"> </w:t>
      </w:r>
    </w:p>
    <w:p w14:paraId="15CB87CB" w14:textId="77777777" w:rsidR="00B840DE" w:rsidRDefault="00B840DE" w:rsidP="0081080A">
      <w:pPr>
        <w:rPr>
          <w:lang w:val="nl-NL"/>
        </w:rPr>
      </w:pPr>
    </w:p>
    <w:p w14:paraId="7AC5C7DF" w14:textId="6AA66273" w:rsidR="00B840DE" w:rsidRDefault="00B840DE" w:rsidP="00B840DE">
      <w:pPr>
        <w:rPr>
          <w:lang w:val="nl-NL"/>
        </w:rPr>
      </w:pPr>
      <w:r>
        <w:rPr>
          <w:lang w:val="nl-NL"/>
        </w:rPr>
        <w:t>Het bestuur heeft op basis van de ALM-studie van 20</w:t>
      </w:r>
      <w:r w:rsidR="005052F6">
        <w:rPr>
          <w:lang w:val="nl-NL"/>
        </w:rPr>
        <w:t>21</w:t>
      </w:r>
      <w:r>
        <w:rPr>
          <w:lang w:val="nl-NL"/>
        </w:rPr>
        <w:t xml:space="preserve"> gekozen voor verdere diversificatie van de strategische portefeuille: </w:t>
      </w:r>
      <w:r w:rsidR="00023192">
        <w:rPr>
          <w:lang w:val="nl-NL"/>
        </w:rPr>
        <w:t xml:space="preserve">in 2023 </w:t>
      </w:r>
      <w:r w:rsidR="001B2AE9">
        <w:rPr>
          <w:lang w:val="nl-NL"/>
        </w:rPr>
        <w:t xml:space="preserve">is </w:t>
      </w:r>
      <w:r w:rsidR="00023192">
        <w:rPr>
          <w:lang w:val="nl-NL"/>
        </w:rPr>
        <w:t xml:space="preserve">het aandelenexposure </w:t>
      </w:r>
      <w:r w:rsidR="00E65CD8">
        <w:rPr>
          <w:lang w:val="nl-NL"/>
        </w:rPr>
        <w:t xml:space="preserve">verder </w:t>
      </w:r>
      <w:r w:rsidR="00023192">
        <w:rPr>
          <w:lang w:val="nl-NL"/>
        </w:rPr>
        <w:t>gediversificeerd met de opname van Europe en Japanse small caps</w:t>
      </w:r>
      <w:r w:rsidR="00CB505A">
        <w:rPr>
          <w:lang w:val="nl-NL"/>
        </w:rPr>
        <w:t>.</w:t>
      </w:r>
      <w:r w:rsidR="008D5687">
        <w:rPr>
          <w:lang w:val="nl-NL"/>
        </w:rPr>
        <w:t xml:space="preserve"> </w:t>
      </w:r>
      <w:r w:rsidR="00AF059C">
        <w:rPr>
          <w:lang w:val="nl-NL"/>
        </w:rPr>
        <w:t>De uitkomsten van de</w:t>
      </w:r>
      <w:r w:rsidR="007952FA">
        <w:rPr>
          <w:lang w:val="nl-NL"/>
        </w:rPr>
        <w:t xml:space="preserve"> ALM-studie van 2021 vormen de input van het  </w:t>
      </w:r>
      <w:r w:rsidR="00C107D5">
        <w:rPr>
          <w:lang w:val="nl-NL"/>
        </w:rPr>
        <w:t>huidige b</w:t>
      </w:r>
      <w:r w:rsidR="007952FA">
        <w:rPr>
          <w:lang w:val="nl-NL"/>
        </w:rPr>
        <w:t xml:space="preserve">eleggings- </w:t>
      </w:r>
      <w:r w:rsidR="00C107D5">
        <w:rPr>
          <w:lang w:val="nl-NL"/>
        </w:rPr>
        <w:t xml:space="preserve">en renteafdekkingsbeleid. </w:t>
      </w:r>
      <w:r w:rsidR="00AF059C" w:rsidRPr="00AF059C">
        <w:rPr>
          <w:lang w:val="nl-NL"/>
        </w:rPr>
        <w:t>Met de intentie tot invaren is besloten de strategische asset allocatie van de portefeuille ongewijzigd te laten tot invaardatum (i.c. 1 januari 2028). Een nieuwe ALM-studie wordt dan ook niet wenselijk geacht.</w:t>
      </w:r>
    </w:p>
    <w:p w14:paraId="3C253743" w14:textId="77777777" w:rsidR="00B840DE" w:rsidRPr="0081080A" w:rsidRDefault="00B840DE" w:rsidP="0081080A">
      <w:pPr>
        <w:rPr>
          <w:lang w:val="nl-NL"/>
        </w:rPr>
      </w:pPr>
    </w:p>
    <w:p w14:paraId="2B16FD4B" w14:textId="2461B2F0" w:rsidR="0081080A" w:rsidRPr="0081080A" w:rsidRDefault="0081080A" w:rsidP="0081080A">
      <w:pPr>
        <w:rPr>
          <w:lang w:val="nl-NL"/>
        </w:rPr>
      </w:pPr>
      <w:r w:rsidRPr="0081080A">
        <w:rPr>
          <w:lang w:val="nl-NL"/>
        </w:rPr>
        <w:t xml:space="preserve">Standaard zal (onvoorziene omstandigheden daargelaten) in principe de allocatie plaatsvinden conform de </w:t>
      </w:r>
      <w:r w:rsidR="000D5681">
        <w:rPr>
          <w:lang w:val="nl-NL"/>
        </w:rPr>
        <w:t xml:space="preserve">vastgestelde </w:t>
      </w:r>
      <w:r w:rsidRPr="0081080A">
        <w:rPr>
          <w:lang w:val="nl-NL"/>
        </w:rPr>
        <w:t>doelweging</w:t>
      </w:r>
      <w:r w:rsidR="000D5681">
        <w:rPr>
          <w:lang w:val="nl-NL"/>
        </w:rPr>
        <w:t>en</w:t>
      </w:r>
      <w:r w:rsidRPr="0081080A">
        <w:rPr>
          <w:lang w:val="nl-NL"/>
        </w:rPr>
        <w:t xml:space="preserve"> van </w:t>
      </w:r>
      <w:r w:rsidR="00621EF0">
        <w:rPr>
          <w:lang w:val="nl-NL"/>
        </w:rPr>
        <w:t>de strategische portefeuille</w:t>
      </w:r>
      <w:r w:rsidRPr="0081080A">
        <w:rPr>
          <w:lang w:val="nl-NL"/>
        </w:rPr>
        <w:t xml:space="preserve">. Tenminste één keer per jaar wordt het </w:t>
      </w:r>
      <w:r w:rsidR="00B840DE">
        <w:rPr>
          <w:lang w:val="nl-NL"/>
        </w:rPr>
        <w:t xml:space="preserve">plan met betrekking tot beleggings- en </w:t>
      </w:r>
      <w:r w:rsidR="00DB4B32">
        <w:rPr>
          <w:lang w:val="nl-NL"/>
        </w:rPr>
        <w:t>renteafdekkingsbeleid</w:t>
      </w:r>
      <w:r w:rsidRPr="0081080A">
        <w:rPr>
          <w:lang w:val="nl-NL"/>
        </w:rPr>
        <w:t xml:space="preserve"> integraal geëvalueerd door het bestuur. Het hierna beschreven beleggings- en risicobeleid </w:t>
      </w:r>
      <w:r w:rsidR="006A0D0A">
        <w:rPr>
          <w:lang w:val="nl-NL"/>
        </w:rPr>
        <w:t>is</w:t>
      </w:r>
      <w:r w:rsidRPr="0081080A">
        <w:rPr>
          <w:lang w:val="nl-NL"/>
        </w:rPr>
        <w:t xml:space="preserve"> in overeenstemming met het </w:t>
      </w:r>
      <w:r w:rsidR="00B840DE">
        <w:rPr>
          <w:lang w:val="nl-NL"/>
        </w:rPr>
        <w:t xml:space="preserve">plan met betrekking tot </w:t>
      </w:r>
      <w:r w:rsidR="00621EF0">
        <w:rPr>
          <w:lang w:val="nl-NL"/>
        </w:rPr>
        <w:t xml:space="preserve">het </w:t>
      </w:r>
      <w:r w:rsidR="00B840DE">
        <w:rPr>
          <w:lang w:val="nl-NL"/>
        </w:rPr>
        <w:t xml:space="preserve">beleggings- en </w:t>
      </w:r>
      <w:r w:rsidR="00DB4B32">
        <w:rPr>
          <w:lang w:val="nl-NL"/>
        </w:rPr>
        <w:t>renteafdekkingsbeleid</w:t>
      </w:r>
      <w:r w:rsidRPr="0081080A">
        <w:rPr>
          <w:lang w:val="nl-NL"/>
        </w:rPr>
        <w:t xml:space="preserve"> en de daarin door het bestuur vastgelegde opzet van de uitvoering van de vermogensbeheeractiviteiten en de wijze van risicometing en –beheersing. In de Verklaring inzake beleggingsbeginselen (Bijlage 5 bij deze ABT</w:t>
      </w:r>
      <w:r>
        <w:rPr>
          <w:lang w:val="nl-NL"/>
        </w:rPr>
        <w:t>N) is dit eveneens beschreven.</w:t>
      </w:r>
    </w:p>
    <w:p w14:paraId="2BFFF273" w14:textId="77777777" w:rsidR="0081080A" w:rsidRPr="0081080A" w:rsidRDefault="0081080A" w:rsidP="0081080A">
      <w:pPr>
        <w:rPr>
          <w:lang w:val="nl-NL"/>
        </w:rPr>
      </w:pPr>
    </w:p>
    <w:p w14:paraId="1504F534" w14:textId="77777777" w:rsidR="0081080A" w:rsidRPr="0081080A" w:rsidRDefault="0081080A" w:rsidP="0081080A">
      <w:pPr>
        <w:pStyle w:val="Kop2"/>
        <w:rPr>
          <w:rFonts w:hint="eastAsia"/>
          <w:lang w:val="nl-NL"/>
        </w:rPr>
      </w:pPr>
      <w:bookmarkStart w:id="49" w:name="_Toc231804775"/>
      <w:r w:rsidRPr="0081080A">
        <w:rPr>
          <w:lang w:val="nl-NL"/>
        </w:rPr>
        <w:t>Matching portefeuille</w:t>
      </w:r>
      <w:bookmarkEnd w:id="49"/>
    </w:p>
    <w:p w14:paraId="7A3F940B" w14:textId="77777777" w:rsidR="0081080A" w:rsidRDefault="0081080A" w:rsidP="0081080A">
      <w:pPr>
        <w:rPr>
          <w:lang w:val="nl-NL"/>
        </w:rPr>
      </w:pPr>
    </w:p>
    <w:p w14:paraId="741F6720" w14:textId="3BF2CC40" w:rsidR="0081080A" w:rsidRPr="0081080A" w:rsidRDefault="0081080A" w:rsidP="0081080A">
      <w:pPr>
        <w:rPr>
          <w:lang w:val="nl-NL"/>
        </w:rPr>
      </w:pPr>
      <w:r w:rsidRPr="0081080A">
        <w:rPr>
          <w:lang w:val="nl-NL"/>
        </w:rPr>
        <w:t>De matching</w:t>
      </w:r>
      <w:r w:rsidR="001D4DD9">
        <w:rPr>
          <w:lang w:val="nl-NL"/>
        </w:rPr>
        <w:t xml:space="preserve"> </w:t>
      </w:r>
      <w:r w:rsidRPr="0081080A">
        <w:rPr>
          <w:lang w:val="nl-NL"/>
        </w:rPr>
        <w:t xml:space="preserve">portefeuille bestaat </w:t>
      </w:r>
      <w:r w:rsidR="00C46880">
        <w:rPr>
          <w:lang w:val="nl-NL"/>
        </w:rPr>
        <w:t xml:space="preserve">uitsluitend </w:t>
      </w:r>
      <w:r w:rsidRPr="0081080A">
        <w:rPr>
          <w:lang w:val="nl-NL"/>
        </w:rPr>
        <w:t xml:space="preserve">uit </w:t>
      </w:r>
      <w:r w:rsidR="00555661">
        <w:rPr>
          <w:lang w:val="nl-NL"/>
        </w:rPr>
        <w:t xml:space="preserve">in </w:t>
      </w:r>
      <w:r w:rsidR="00812CBF">
        <w:rPr>
          <w:lang w:val="nl-NL"/>
        </w:rPr>
        <w:t>e</w:t>
      </w:r>
      <w:r w:rsidR="00394C01" w:rsidRPr="00394C01">
        <w:rPr>
          <w:lang w:val="nl-NL"/>
        </w:rPr>
        <w:t xml:space="preserve">uro gedenomineerde </w:t>
      </w:r>
      <w:r w:rsidRPr="0081080A">
        <w:rPr>
          <w:lang w:val="nl-NL"/>
        </w:rPr>
        <w:t>vastrentende waarden</w:t>
      </w:r>
      <w:r w:rsidR="004E567D">
        <w:rPr>
          <w:lang w:val="nl-NL"/>
        </w:rPr>
        <w:t xml:space="preserve"> </w:t>
      </w:r>
      <w:r w:rsidR="00555661">
        <w:rPr>
          <w:lang w:val="nl-NL"/>
        </w:rPr>
        <w:t xml:space="preserve">van </w:t>
      </w:r>
      <w:r w:rsidR="004E567D">
        <w:rPr>
          <w:lang w:val="nl-NL"/>
        </w:rPr>
        <w:t>hoge kre</w:t>
      </w:r>
      <w:r w:rsidR="005A2862">
        <w:rPr>
          <w:lang w:val="nl-NL"/>
        </w:rPr>
        <w:t>d</w:t>
      </w:r>
      <w:r w:rsidR="004E567D">
        <w:rPr>
          <w:lang w:val="nl-NL"/>
        </w:rPr>
        <w:t>ietwaardigheid</w:t>
      </w:r>
      <w:r w:rsidR="00EF2E72">
        <w:rPr>
          <w:lang w:val="nl-NL"/>
        </w:rPr>
        <w:t xml:space="preserve"> </w:t>
      </w:r>
      <w:r w:rsidR="0027098D" w:rsidRPr="00EF2E72">
        <w:rPr>
          <w:lang w:val="nl-NL"/>
        </w:rPr>
        <w:t>(staatsobligaties, supranationaa</w:t>
      </w:r>
      <w:r w:rsidR="0027098D" w:rsidRPr="00EF2E72">
        <w:rPr>
          <w:rFonts w:hint="eastAsia"/>
          <w:lang w:val="nl-NL"/>
        </w:rPr>
        <w:t>l</w:t>
      </w:r>
      <w:r w:rsidR="0027098D" w:rsidRPr="00EF2E72">
        <w:rPr>
          <w:lang w:val="nl-NL"/>
        </w:rPr>
        <w:t>, semi-overheden, agencies en covered bonds)</w:t>
      </w:r>
      <w:r w:rsidR="00AB4A11">
        <w:rPr>
          <w:lang w:val="nl-NL"/>
        </w:rPr>
        <w:t>,</w:t>
      </w:r>
      <w:r w:rsidRPr="0081080A">
        <w:rPr>
          <w:lang w:val="nl-NL"/>
        </w:rPr>
        <w:t xml:space="preserve"> aangevuld met derivaten (renteswaps</w:t>
      </w:r>
      <w:r w:rsidR="00E9625A">
        <w:rPr>
          <w:lang w:val="nl-NL"/>
        </w:rPr>
        <w:t>, swaptions)</w:t>
      </w:r>
      <w:r w:rsidRPr="0081080A">
        <w:rPr>
          <w:lang w:val="nl-NL"/>
        </w:rPr>
        <w:t>)</w:t>
      </w:r>
      <w:r w:rsidR="00433C69">
        <w:rPr>
          <w:lang w:val="nl-NL"/>
        </w:rPr>
        <w:t xml:space="preserve"> en een Nederlandse woninghypothekenfonds</w:t>
      </w:r>
      <w:r w:rsidRPr="0081080A">
        <w:rPr>
          <w:lang w:val="nl-NL"/>
        </w:rPr>
        <w:t xml:space="preserve"> en heeft als primair doel de afdekking van het renterisico van </w:t>
      </w:r>
      <w:r w:rsidR="00C300FB">
        <w:rPr>
          <w:lang w:val="nl-NL"/>
        </w:rPr>
        <w:t>ons</w:t>
      </w:r>
      <w:r w:rsidR="00C300FB" w:rsidRPr="0081080A">
        <w:rPr>
          <w:lang w:val="nl-NL"/>
        </w:rPr>
        <w:t xml:space="preserve"> </w:t>
      </w:r>
      <w:r w:rsidRPr="0081080A">
        <w:rPr>
          <w:lang w:val="nl-NL"/>
        </w:rPr>
        <w:t xml:space="preserve">fonds. Dit betreft een strategisch aangestuurde portefeuille met een semi-passief karakter. </w:t>
      </w:r>
    </w:p>
    <w:p w14:paraId="73C41DA6" w14:textId="77777777" w:rsidR="0081080A" w:rsidRPr="0081080A" w:rsidRDefault="0081080A" w:rsidP="0081080A">
      <w:pPr>
        <w:rPr>
          <w:lang w:val="nl-NL"/>
        </w:rPr>
      </w:pPr>
    </w:p>
    <w:p w14:paraId="45B26037" w14:textId="77777777" w:rsidR="0081080A" w:rsidRPr="00A01686" w:rsidRDefault="00A01686" w:rsidP="0081080A">
      <w:pPr>
        <w:rPr>
          <w:i/>
          <w:lang w:val="nl-NL"/>
        </w:rPr>
      </w:pPr>
      <w:r>
        <w:rPr>
          <w:i/>
          <w:lang w:val="nl-NL"/>
        </w:rPr>
        <w:t>Vastrentende waarden</w:t>
      </w:r>
    </w:p>
    <w:p w14:paraId="67220202" w14:textId="62655A22" w:rsidR="0081080A" w:rsidRPr="0081080A" w:rsidRDefault="0081080A" w:rsidP="0081080A">
      <w:pPr>
        <w:rPr>
          <w:lang w:val="nl-NL"/>
        </w:rPr>
      </w:pPr>
      <w:r w:rsidRPr="0081080A">
        <w:rPr>
          <w:lang w:val="nl-NL"/>
        </w:rPr>
        <w:t xml:space="preserve">De vastrentende waardenportefeuille </w:t>
      </w:r>
      <w:r w:rsidR="00011774">
        <w:rPr>
          <w:lang w:val="nl-NL"/>
        </w:rPr>
        <w:t xml:space="preserve">binnen de matching portefeuille </w:t>
      </w:r>
      <w:r w:rsidRPr="0081080A">
        <w:rPr>
          <w:lang w:val="nl-NL"/>
        </w:rPr>
        <w:t xml:space="preserve">zal uitsluitend bestaan uit in euro’s luidende vastrentende waarden. Risicobeheersing komt tot uitdrukking in eisen ten aanzien van kwaliteit, liquiditeit en spreiding. Deze laatste factor houdt zowel spreiding in over debiteuren als over looptijden in verband met het curverisico ten opzichte van de verplichtingen. Als gevolg van de lange </w:t>
      </w:r>
      <w:r w:rsidR="00B840DE">
        <w:rPr>
          <w:lang w:val="nl-NL"/>
        </w:rPr>
        <w:t>duratie</w:t>
      </w:r>
      <w:r w:rsidRPr="0081080A">
        <w:rPr>
          <w:lang w:val="nl-NL"/>
        </w:rPr>
        <w:t xml:space="preserve"> van de verplichtingen zal deze portefeuille voornamelijk bestaan uit langlopende (staats)obligaties</w:t>
      </w:r>
      <w:r w:rsidR="00520D0D">
        <w:rPr>
          <w:lang w:val="nl-NL"/>
        </w:rPr>
        <w:t xml:space="preserve"> en rentederivaten</w:t>
      </w:r>
      <w:r w:rsidR="00AC7DA3">
        <w:rPr>
          <w:lang w:val="nl-NL"/>
        </w:rPr>
        <w:t>,</w:t>
      </w:r>
      <w:r w:rsidR="00AC7DA3" w:rsidRPr="00781DB1">
        <w:rPr>
          <w:sz w:val="22"/>
          <w:lang w:val="nl-NL"/>
        </w:rPr>
        <w:t xml:space="preserve"> eventueel aangevuld met kortlopende (&lt; 1jaar) staatsobligaties voor het aanhouden van liquiditeiten.</w:t>
      </w:r>
    </w:p>
    <w:p w14:paraId="1EB3F360" w14:textId="77777777" w:rsidR="0081080A" w:rsidRPr="0081080A" w:rsidRDefault="0081080A" w:rsidP="0081080A">
      <w:pPr>
        <w:rPr>
          <w:lang w:val="nl-NL"/>
        </w:rPr>
      </w:pPr>
    </w:p>
    <w:p w14:paraId="788C6BE2" w14:textId="7995D666" w:rsidR="007923CB" w:rsidRDefault="0081080A" w:rsidP="0081080A">
      <w:pPr>
        <w:rPr>
          <w:lang w:val="nl-NL"/>
        </w:rPr>
      </w:pPr>
      <w:r w:rsidRPr="0081080A">
        <w:rPr>
          <w:lang w:val="nl-NL"/>
        </w:rPr>
        <w:t>De richtlijnen voor de vastrentende (matching) portefeuille zien er op hoofdlijnen als volgt uit:</w:t>
      </w:r>
    </w:p>
    <w:p w14:paraId="3E13BE47" w14:textId="65F04B11" w:rsidR="0081080A" w:rsidRDefault="007923CB" w:rsidP="007923CB">
      <w:pPr>
        <w:spacing w:after="200" w:line="276" w:lineRule="auto"/>
        <w:rPr>
          <w:lang w:val="nl-NL"/>
        </w:rPr>
      </w:pPr>
      <w:r>
        <w:rPr>
          <w:lang w:val="nl-NL"/>
        </w:rPr>
        <w:br w:type="page"/>
      </w:r>
    </w:p>
    <w:tbl>
      <w:tblPr>
        <w:tblStyle w:val="Tabelraster"/>
        <w:tblW w:w="0" w:type="auto"/>
        <w:tblBorders>
          <w:top w:val="single" w:sz="4" w:space="0" w:color="00AFD2" w:themeColor="accent1"/>
          <w:left w:val="single" w:sz="4" w:space="0" w:color="00AFD2" w:themeColor="accent1"/>
          <w:bottom w:val="single" w:sz="4" w:space="0" w:color="00AFD2" w:themeColor="accent1"/>
          <w:right w:val="single" w:sz="4" w:space="0" w:color="00AFD2" w:themeColor="accent1"/>
          <w:insideH w:val="single" w:sz="4" w:space="0" w:color="00AFD2" w:themeColor="accent1"/>
          <w:insideV w:val="single" w:sz="4" w:space="0" w:color="00AFD2" w:themeColor="accent1"/>
        </w:tblBorders>
        <w:tblLook w:val="04A0" w:firstRow="1" w:lastRow="0" w:firstColumn="1" w:lastColumn="0" w:noHBand="0" w:noVBand="1"/>
      </w:tblPr>
      <w:tblGrid>
        <w:gridCol w:w="4165"/>
        <w:gridCol w:w="1783"/>
        <w:gridCol w:w="1674"/>
        <w:gridCol w:w="1439"/>
      </w:tblGrid>
      <w:tr w:rsidR="007C4619" w:rsidRPr="007C4619" w14:paraId="7ADCFB00" w14:textId="77777777" w:rsidTr="00432DF6">
        <w:tc>
          <w:tcPr>
            <w:tcW w:w="4165" w:type="dxa"/>
            <w:shd w:val="clear" w:color="auto" w:fill="00AFD2" w:themeFill="accent1"/>
          </w:tcPr>
          <w:p w14:paraId="16778954" w14:textId="77777777" w:rsidR="007C4619" w:rsidRPr="00A01686" w:rsidRDefault="007C4619" w:rsidP="00A01686">
            <w:pPr>
              <w:spacing w:before="20" w:after="20"/>
              <w:rPr>
                <w:b/>
                <w:color w:val="FFFFFF" w:themeColor="background1"/>
                <w:lang w:val="nl-NL"/>
              </w:rPr>
            </w:pPr>
          </w:p>
        </w:tc>
        <w:tc>
          <w:tcPr>
            <w:tcW w:w="1783" w:type="dxa"/>
            <w:shd w:val="clear" w:color="auto" w:fill="00AFD2" w:themeFill="accent1"/>
          </w:tcPr>
          <w:p w14:paraId="02DC25B3" w14:textId="5EC3BB8D" w:rsidR="007C4619" w:rsidRPr="00A01686" w:rsidRDefault="007C4619" w:rsidP="00A01686">
            <w:pPr>
              <w:spacing w:before="20" w:after="20"/>
              <w:jc w:val="center"/>
              <w:rPr>
                <w:b/>
                <w:color w:val="FFFFFF" w:themeColor="background1"/>
                <w:lang w:val="en-GB"/>
              </w:rPr>
            </w:pPr>
            <w:r w:rsidRPr="00A01686">
              <w:rPr>
                <w:b/>
                <w:color w:val="FFFFFF" w:themeColor="background1"/>
                <w:lang w:val="en-GB"/>
              </w:rPr>
              <w:t>Rating  ***</w:t>
            </w:r>
            <w:r w:rsidR="00352169">
              <w:rPr>
                <w:b/>
                <w:color w:val="FFFFFF" w:themeColor="background1"/>
                <w:lang w:val="en-GB"/>
              </w:rPr>
              <w:t>*</w:t>
            </w:r>
          </w:p>
        </w:tc>
        <w:tc>
          <w:tcPr>
            <w:tcW w:w="1674" w:type="dxa"/>
            <w:shd w:val="clear" w:color="auto" w:fill="00AFD2" w:themeFill="accent1"/>
          </w:tcPr>
          <w:p w14:paraId="529EF0C2" w14:textId="5A627468" w:rsidR="007C4619" w:rsidRPr="00B6584D" w:rsidRDefault="007C4619" w:rsidP="00A01686">
            <w:pPr>
              <w:spacing w:before="20" w:after="20"/>
              <w:jc w:val="center"/>
              <w:rPr>
                <w:b/>
                <w:color w:val="FFFFFF" w:themeColor="background1"/>
                <w:lang w:val="nl-NL"/>
              </w:rPr>
            </w:pPr>
            <w:r w:rsidRPr="00B6584D">
              <w:rPr>
                <w:b/>
                <w:color w:val="FFFFFF" w:themeColor="background1"/>
                <w:lang w:val="nl-NL"/>
              </w:rPr>
              <w:t>Strategisch</w:t>
            </w:r>
            <w:r w:rsidRPr="00B6584D">
              <w:rPr>
                <w:b/>
                <w:color w:val="FFFFFF" w:themeColor="background1"/>
                <w:lang w:val="nl-NL"/>
              </w:rPr>
              <w:br/>
              <w:t>Gewicht</w:t>
            </w:r>
            <w:r w:rsidR="001037E1">
              <w:rPr>
                <w:b/>
                <w:color w:val="FFFFFF" w:themeColor="background1"/>
                <w:lang w:val="nl-NL"/>
              </w:rPr>
              <w:t>*****</w:t>
            </w:r>
          </w:p>
        </w:tc>
        <w:tc>
          <w:tcPr>
            <w:tcW w:w="1439" w:type="dxa"/>
            <w:shd w:val="clear" w:color="auto" w:fill="00AFD2" w:themeFill="accent1"/>
          </w:tcPr>
          <w:p w14:paraId="36872D2D" w14:textId="77777777" w:rsidR="007C4619" w:rsidRPr="007C4619" w:rsidRDefault="00072007" w:rsidP="00A01686">
            <w:pPr>
              <w:spacing w:before="20" w:after="20"/>
              <w:jc w:val="center"/>
              <w:rPr>
                <w:b/>
                <w:color w:val="FFFFFF" w:themeColor="background1"/>
                <w:lang w:val="nl-NL"/>
              </w:rPr>
            </w:pPr>
            <w:r>
              <w:rPr>
                <w:b/>
                <w:color w:val="FFFFFF" w:themeColor="background1"/>
                <w:lang w:val="nl-NL"/>
              </w:rPr>
              <w:t>B</w:t>
            </w:r>
            <w:r w:rsidR="007C4619">
              <w:rPr>
                <w:b/>
                <w:color w:val="FFFFFF" w:themeColor="background1"/>
                <w:lang w:val="nl-NL"/>
              </w:rPr>
              <w:t>andbreedte</w:t>
            </w:r>
          </w:p>
        </w:tc>
      </w:tr>
      <w:tr w:rsidR="007C4619" w:rsidRPr="007C4619" w14:paraId="26563921" w14:textId="77777777" w:rsidTr="00432DF6">
        <w:tc>
          <w:tcPr>
            <w:tcW w:w="4165" w:type="dxa"/>
          </w:tcPr>
          <w:p w14:paraId="3F8CC189" w14:textId="77777777" w:rsidR="007C4619" w:rsidRPr="00A01686" w:rsidRDefault="007C4619" w:rsidP="00A01686">
            <w:pPr>
              <w:spacing w:before="20" w:after="20"/>
              <w:rPr>
                <w:b/>
                <w:lang w:val="nl-NL"/>
              </w:rPr>
            </w:pPr>
            <w:r>
              <w:rPr>
                <w:b/>
                <w:lang w:val="nl-NL"/>
              </w:rPr>
              <w:t>S</w:t>
            </w:r>
            <w:r w:rsidRPr="00A01686">
              <w:rPr>
                <w:b/>
                <w:lang w:val="nl-NL"/>
              </w:rPr>
              <w:t>taatsobligaties*</w:t>
            </w:r>
          </w:p>
        </w:tc>
        <w:tc>
          <w:tcPr>
            <w:tcW w:w="1783" w:type="dxa"/>
          </w:tcPr>
          <w:p w14:paraId="15E9862E" w14:textId="77777777" w:rsidR="007C4619" w:rsidRPr="00A01686" w:rsidRDefault="007C4619" w:rsidP="00A01686">
            <w:pPr>
              <w:spacing w:before="20" w:after="20"/>
              <w:jc w:val="center"/>
              <w:rPr>
                <w:lang w:val="nl-NL"/>
              </w:rPr>
            </w:pPr>
            <w:r w:rsidRPr="00A01686">
              <w:rPr>
                <w:lang w:val="nl-NL"/>
              </w:rPr>
              <w:t>AAA</w:t>
            </w:r>
          </w:p>
        </w:tc>
        <w:tc>
          <w:tcPr>
            <w:tcW w:w="1674" w:type="dxa"/>
          </w:tcPr>
          <w:p w14:paraId="3ACD4B48" w14:textId="1FA546D9" w:rsidR="007C4619" w:rsidRPr="00A01686" w:rsidRDefault="007C4619" w:rsidP="00A01686">
            <w:pPr>
              <w:spacing w:before="20" w:after="20"/>
              <w:jc w:val="center"/>
              <w:rPr>
                <w:lang w:val="nl-NL"/>
              </w:rPr>
            </w:pPr>
            <w:r w:rsidRPr="00A01686">
              <w:rPr>
                <w:lang w:val="nl-NL"/>
              </w:rPr>
              <w:t xml:space="preserve">≥ </w:t>
            </w:r>
            <w:r w:rsidR="000D5681">
              <w:rPr>
                <w:lang w:val="nl-NL"/>
              </w:rPr>
              <w:t>35</w:t>
            </w:r>
            <w:r w:rsidRPr="00A01686">
              <w:rPr>
                <w:lang w:val="nl-NL"/>
              </w:rPr>
              <w:t>%</w:t>
            </w:r>
          </w:p>
        </w:tc>
        <w:tc>
          <w:tcPr>
            <w:tcW w:w="1439" w:type="dxa"/>
          </w:tcPr>
          <w:p w14:paraId="70CDE850" w14:textId="229BAE07" w:rsidR="007C4619" w:rsidRPr="00A01686" w:rsidRDefault="000D5681" w:rsidP="007C4619">
            <w:pPr>
              <w:spacing w:before="20" w:after="20"/>
              <w:jc w:val="center"/>
              <w:rPr>
                <w:lang w:val="nl-NL"/>
              </w:rPr>
            </w:pPr>
            <w:r>
              <w:rPr>
                <w:lang w:val="nl-NL"/>
              </w:rPr>
              <w:t>35%</w:t>
            </w:r>
            <w:r w:rsidR="007C4619">
              <w:rPr>
                <w:lang w:val="nl-NL"/>
              </w:rPr>
              <w:t>–100%</w:t>
            </w:r>
          </w:p>
        </w:tc>
      </w:tr>
      <w:tr w:rsidR="007C4619" w:rsidRPr="00A01686" w14:paraId="443A857C" w14:textId="77777777" w:rsidTr="00432DF6">
        <w:tc>
          <w:tcPr>
            <w:tcW w:w="4165" w:type="dxa"/>
          </w:tcPr>
          <w:p w14:paraId="54DA6866" w14:textId="77777777" w:rsidR="007C4619" w:rsidRPr="00A01686" w:rsidRDefault="007C4619" w:rsidP="00A01686">
            <w:pPr>
              <w:spacing w:before="20" w:after="20"/>
              <w:rPr>
                <w:b/>
                <w:lang w:val="nl-NL"/>
              </w:rPr>
            </w:pPr>
            <w:r>
              <w:rPr>
                <w:b/>
                <w:lang w:val="nl-NL"/>
              </w:rPr>
              <w:t>S</w:t>
            </w:r>
            <w:r w:rsidRPr="00A01686">
              <w:rPr>
                <w:b/>
                <w:lang w:val="nl-NL"/>
              </w:rPr>
              <w:t>taatsobligaties*</w:t>
            </w:r>
          </w:p>
        </w:tc>
        <w:tc>
          <w:tcPr>
            <w:tcW w:w="1783" w:type="dxa"/>
          </w:tcPr>
          <w:p w14:paraId="59E400D9" w14:textId="15FEF9B9" w:rsidR="007C4619" w:rsidRPr="00A01686" w:rsidRDefault="007C4619" w:rsidP="00A01686">
            <w:pPr>
              <w:spacing w:before="20" w:after="20"/>
              <w:jc w:val="center"/>
              <w:rPr>
                <w:lang w:val="nl-NL"/>
              </w:rPr>
            </w:pPr>
            <w:r w:rsidRPr="00A01686">
              <w:rPr>
                <w:lang w:val="nl-NL"/>
              </w:rPr>
              <w:t>min. AA-/AA3</w:t>
            </w:r>
          </w:p>
        </w:tc>
        <w:tc>
          <w:tcPr>
            <w:tcW w:w="1674" w:type="dxa"/>
          </w:tcPr>
          <w:p w14:paraId="1B015EF9" w14:textId="4970090D" w:rsidR="007C4619" w:rsidRPr="00A01686" w:rsidRDefault="007C4619" w:rsidP="00A01686">
            <w:pPr>
              <w:spacing w:before="20" w:after="20"/>
              <w:jc w:val="center"/>
              <w:rPr>
                <w:lang w:val="nl-NL"/>
              </w:rPr>
            </w:pPr>
            <w:r w:rsidRPr="00A01686">
              <w:rPr>
                <w:lang w:val="nl-NL"/>
              </w:rPr>
              <w:t xml:space="preserve">≥ </w:t>
            </w:r>
            <w:r w:rsidR="00B840DE">
              <w:rPr>
                <w:lang w:val="nl-NL"/>
              </w:rPr>
              <w:t>6</w:t>
            </w:r>
            <w:r w:rsidR="000D5681">
              <w:rPr>
                <w:lang w:val="nl-NL"/>
              </w:rPr>
              <w:t>0</w:t>
            </w:r>
            <w:r w:rsidRPr="00A01686">
              <w:rPr>
                <w:lang w:val="nl-NL"/>
              </w:rPr>
              <w:t>%</w:t>
            </w:r>
          </w:p>
        </w:tc>
        <w:tc>
          <w:tcPr>
            <w:tcW w:w="1439" w:type="dxa"/>
          </w:tcPr>
          <w:p w14:paraId="1EA53DA4" w14:textId="6A180EA3" w:rsidR="007C4619" w:rsidRPr="00A01686" w:rsidRDefault="003B038E" w:rsidP="007C4619">
            <w:pPr>
              <w:spacing w:before="20" w:after="20"/>
              <w:jc w:val="center"/>
              <w:rPr>
                <w:lang w:val="nl-NL"/>
              </w:rPr>
            </w:pPr>
            <w:r>
              <w:rPr>
                <w:lang w:val="nl-NL"/>
              </w:rPr>
              <w:t>6</w:t>
            </w:r>
            <w:r w:rsidR="000D5681">
              <w:rPr>
                <w:lang w:val="nl-NL"/>
              </w:rPr>
              <w:t>0%</w:t>
            </w:r>
            <w:r w:rsidR="007C4619">
              <w:rPr>
                <w:lang w:val="nl-NL"/>
              </w:rPr>
              <w:t>-100%</w:t>
            </w:r>
          </w:p>
        </w:tc>
      </w:tr>
      <w:tr w:rsidR="007C4619" w:rsidRPr="00A01686" w14:paraId="0B82B936" w14:textId="77777777" w:rsidTr="00432DF6">
        <w:tc>
          <w:tcPr>
            <w:tcW w:w="4165" w:type="dxa"/>
          </w:tcPr>
          <w:p w14:paraId="141FB5C6" w14:textId="71BEFE74" w:rsidR="007C4619" w:rsidRPr="00A01686" w:rsidRDefault="007C4619" w:rsidP="00A01686">
            <w:pPr>
              <w:spacing w:before="20" w:after="20"/>
              <w:rPr>
                <w:b/>
                <w:lang w:val="nl-NL"/>
              </w:rPr>
            </w:pPr>
            <w:r>
              <w:rPr>
                <w:b/>
                <w:lang w:val="nl-NL"/>
              </w:rPr>
              <w:t>S</w:t>
            </w:r>
            <w:r w:rsidRPr="00A01686">
              <w:rPr>
                <w:b/>
                <w:lang w:val="nl-NL"/>
              </w:rPr>
              <w:t>emi overheidspapier/agencies</w:t>
            </w:r>
            <w:r w:rsidR="00352169">
              <w:rPr>
                <w:b/>
                <w:lang w:val="nl-NL"/>
              </w:rPr>
              <w:t>/ supra-nationaal **</w:t>
            </w:r>
            <w:r w:rsidRPr="00A01686">
              <w:rPr>
                <w:b/>
                <w:lang w:val="nl-NL"/>
              </w:rPr>
              <w:t xml:space="preserve"> </w:t>
            </w:r>
          </w:p>
        </w:tc>
        <w:tc>
          <w:tcPr>
            <w:tcW w:w="1783" w:type="dxa"/>
          </w:tcPr>
          <w:p w14:paraId="1F8D2A99" w14:textId="47349696" w:rsidR="007C4619" w:rsidRPr="00A01686" w:rsidRDefault="007C4619" w:rsidP="00A01686">
            <w:pPr>
              <w:spacing w:before="20" w:after="20"/>
              <w:jc w:val="center"/>
              <w:rPr>
                <w:lang w:val="nl-NL"/>
              </w:rPr>
            </w:pPr>
            <w:r w:rsidRPr="00A01686">
              <w:rPr>
                <w:lang w:val="nl-NL"/>
              </w:rPr>
              <w:t>min. AA-/AA3</w:t>
            </w:r>
          </w:p>
        </w:tc>
        <w:tc>
          <w:tcPr>
            <w:tcW w:w="1674" w:type="dxa"/>
          </w:tcPr>
          <w:p w14:paraId="05A7F5DE" w14:textId="05678534" w:rsidR="007C4619" w:rsidRPr="00A01686" w:rsidRDefault="007C4619" w:rsidP="00A01686">
            <w:pPr>
              <w:spacing w:before="20" w:after="20"/>
              <w:jc w:val="center"/>
              <w:rPr>
                <w:lang w:val="nl-NL"/>
              </w:rPr>
            </w:pPr>
            <w:r w:rsidRPr="00A01686">
              <w:rPr>
                <w:lang w:val="nl-NL"/>
              </w:rPr>
              <w:t xml:space="preserve">max </w:t>
            </w:r>
            <w:r w:rsidR="000D5681">
              <w:rPr>
                <w:lang w:val="nl-NL"/>
              </w:rPr>
              <w:t>40</w:t>
            </w:r>
            <w:r w:rsidRPr="00A01686">
              <w:rPr>
                <w:lang w:val="nl-NL"/>
              </w:rPr>
              <w:t>%</w:t>
            </w:r>
          </w:p>
        </w:tc>
        <w:tc>
          <w:tcPr>
            <w:tcW w:w="1439" w:type="dxa"/>
          </w:tcPr>
          <w:p w14:paraId="179007AA" w14:textId="5AE654A7" w:rsidR="007C4619" w:rsidRPr="00A01686" w:rsidRDefault="007C4619" w:rsidP="00A01686">
            <w:pPr>
              <w:spacing w:before="20" w:after="20"/>
              <w:jc w:val="center"/>
              <w:rPr>
                <w:lang w:val="nl-NL"/>
              </w:rPr>
            </w:pPr>
            <w:r>
              <w:rPr>
                <w:lang w:val="nl-NL"/>
              </w:rPr>
              <w:t>0</w:t>
            </w:r>
            <w:r w:rsidR="005107A6">
              <w:rPr>
                <w:lang w:val="nl-NL"/>
              </w:rPr>
              <w:t>%</w:t>
            </w:r>
            <w:r>
              <w:rPr>
                <w:lang w:val="nl-NL"/>
              </w:rPr>
              <w:t>-</w:t>
            </w:r>
            <w:r w:rsidR="000D5681">
              <w:rPr>
                <w:lang w:val="nl-NL"/>
              </w:rPr>
              <w:t>40</w:t>
            </w:r>
            <w:r>
              <w:rPr>
                <w:lang w:val="nl-NL"/>
              </w:rPr>
              <w:t>%</w:t>
            </w:r>
          </w:p>
        </w:tc>
      </w:tr>
      <w:tr w:rsidR="007C4619" w:rsidRPr="00A01686" w14:paraId="26A5FA56" w14:textId="77777777" w:rsidTr="00432DF6">
        <w:tc>
          <w:tcPr>
            <w:tcW w:w="4165" w:type="dxa"/>
          </w:tcPr>
          <w:p w14:paraId="310805CA" w14:textId="10C76693" w:rsidR="007C4619" w:rsidRPr="00A01686" w:rsidRDefault="007C4619" w:rsidP="00A01686">
            <w:pPr>
              <w:spacing w:before="20" w:after="20"/>
              <w:rPr>
                <w:b/>
                <w:lang w:val="nl-NL"/>
              </w:rPr>
            </w:pPr>
            <w:r>
              <w:rPr>
                <w:b/>
                <w:lang w:val="nl-NL"/>
              </w:rPr>
              <w:t>C</w:t>
            </w:r>
            <w:r w:rsidRPr="00A01686">
              <w:rPr>
                <w:b/>
                <w:lang w:val="nl-NL"/>
              </w:rPr>
              <w:t>overed bonds**</w:t>
            </w:r>
            <w:r w:rsidR="00352169">
              <w:rPr>
                <w:b/>
                <w:lang w:val="nl-NL"/>
              </w:rPr>
              <w:t>*</w:t>
            </w:r>
          </w:p>
        </w:tc>
        <w:tc>
          <w:tcPr>
            <w:tcW w:w="1783" w:type="dxa"/>
          </w:tcPr>
          <w:p w14:paraId="1BD2E090" w14:textId="77777777" w:rsidR="007C4619" w:rsidRPr="00A01686" w:rsidRDefault="007C4619" w:rsidP="00A01686">
            <w:pPr>
              <w:spacing w:before="20" w:after="20"/>
              <w:jc w:val="center"/>
              <w:rPr>
                <w:lang w:val="nl-NL"/>
              </w:rPr>
            </w:pPr>
            <w:r w:rsidRPr="00A01686">
              <w:rPr>
                <w:lang w:val="nl-NL"/>
              </w:rPr>
              <w:t>AAA</w:t>
            </w:r>
          </w:p>
        </w:tc>
        <w:tc>
          <w:tcPr>
            <w:tcW w:w="1674" w:type="dxa"/>
          </w:tcPr>
          <w:p w14:paraId="03FDC769" w14:textId="77777777" w:rsidR="007C4619" w:rsidRPr="00A01686" w:rsidRDefault="007C4619" w:rsidP="00A01686">
            <w:pPr>
              <w:spacing w:before="20" w:after="20"/>
              <w:jc w:val="center"/>
              <w:rPr>
                <w:lang w:val="nl-NL"/>
              </w:rPr>
            </w:pPr>
            <w:r w:rsidRPr="00A01686">
              <w:rPr>
                <w:lang w:val="nl-NL"/>
              </w:rPr>
              <w:t xml:space="preserve">max </w:t>
            </w:r>
            <w:r>
              <w:rPr>
                <w:lang w:val="nl-NL"/>
              </w:rPr>
              <w:t>20</w:t>
            </w:r>
            <w:r w:rsidRPr="00A01686">
              <w:rPr>
                <w:lang w:val="nl-NL"/>
              </w:rPr>
              <w:t>%</w:t>
            </w:r>
          </w:p>
        </w:tc>
        <w:tc>
          <w:tcPr>
            <w:tcW w:w="1439" w:type="dxa"/>
          </w:tcPr>
          <w:p w14:paraId="39D7CB7B" w14:textId="098553A3" w:rsidR="007C4619" w:rsidRPr="00A01686" w:rsidRDefault="007C4619" w:rsidP="00A01686">
            <w:pPr>
              <w:spacing w:before="20" w:after="20"/>
              <w:jc w:val="center"/>
              <w:rPr>
                <w:lang w:val="nl-NL"/>
              </w:rPr>
            </w:pPr>
            <w:r>
              <w:rPr>
                <w:lang w:val="nl-NL"/>
              </w:rPr>
              <w:t>0</w:t>
            </w:r>
            <w:r w:rsidR="005107A6">
              <w:rPr>
                <w:lang w:val="nl-NL"/>
              </w:rPr>
              <w:t>%</w:t>
            </w:r>
            <w:r>
              <w:rPr>
                <w:lang w:val="nl-NL"/>
              </w:rPr>
              <w:t>-20%</w:t>
            </w:r>
          </w:p>
        </w:tc>
      </w:tr>
      <w:tr w:rsidR="005107A6" w:rsidRPr="00A01686" w14:paraId="00AD15C0" w14:textId="77777777" w:rsidTr="00432DF6">
        <w:tc>
          <w:tcPr>
            <w:tcW w:w="4165" w:type="dxa"/>
          </w:tcPr>
          <w:p w14:paraId="70AF5D5A" w14:textId="4781C871" w:rsidR="005107A6" w:rsidRDefault="00AF21FE" w:rsidP="00A01686">
            <w:pPr>
              <w:spacing w:before="20" w:after="20"/>
              <w:rPr>
                <w:b/>
                <w:lang w:val="nl-NL"/>
              </w:rPr>
            </w:pPr>
            <w:r>
              <w:rPr>
                <w:b/>
                <w:lang w:val="nl-NL"/>
              </w:rPr>
              <w:t>Woningh</w:t>
            </w:r>
            <w:r w:rsidR="005107A6">
              <w:rPr>
                <w:b/>
                <w:lang w:val="nl-NL"/>
              </w:rPr>
              <w:t>ypotheken</w:t>
            </w:r>
          </w:p>
        </w:tc>
        <w:tc>
          <w:tcPr>
            <w:tcW w:w="1783" w:type="dxa"/>
          </w:tcPr>
          <w:p w14:paraId="129D2F46" w14:textId="653FB25A" w:rsidR="005107A6" w:rsidRPr="00A01686" w:rsidRDefault="005107A6" w:rsidP="00A01686">
            <w:pPr>
              <w:spacing w:before="20" w:after="20"/>
              <w:jc w:val="center"/>
              <w:rPr>
                <w:lang w:val="nl-NL"/>
              </w:rPr>
            </w:pPr>
          </w:p>
        </w:tc>
        <w:tc>
          <w:tcPr>
            <w:tcW w:w="1674" w:type="dxa"/>
          </w:tcPr>
          <w:p w14:paraId="332B415C" w14:textId="1EC5BDAB" w:rsidR="005107A6" w:rsidRPr="00A01686" w:rsidRDefault="005107A6" w:rsidP="00A01686">
            <w:pPr>
              <w:spacing w:before="20" w:after="20"/>
              <w:jc w:val="center"/>
              <w:rPr>
                <w:lang w:val="nl-NL"/>
              </w:rPr>
            </w:pPr>
            <w:r>
              <w:rPr>
                <w:lang w:val="nl-NL"/>
              </w:rPr>
              <w:t>5%</w:t>
            </w:r>
          </w:p>
        </w:tc>
        <w:tc>
          <w:tcPr>
            <w:tcW w:w="1439" w:type="dxa"/>
          </w:tcPr>
          <w:p w14:paraId="1D77315A" w14:textId="399B86AF" w:rsidR="005107A6" w:rsidRDefault="005107A6" w:rsidP="00A01686">
            <w:pPr>
              <w:spacing w:before="20" w:after="20"/>
              <w:jc w:val="center"/>
              <w:rPr>
                <w:lang w:val="nl-NL"/>
              </w:rPr>
            </w:pPr>
            <w:r>
              <w:rPr>
                <w:lang w:val="nl-NL"/>
              </w:rPr>
              <w:t>0%-7.5%</w:t>
            </w:r>
          </w:p>
        </w:tc>
      </w:tr>
    </w:tbl>
    <w:p w14:paraId="6A808925" w14:textId="77777777" w:rsidR="00A01686" w:rsidRPr="00A01686" w:rsidRDefault="00A01686" w:rsidP="00451E81">
      <w:pPr>
        <w:rPr>
          <w:lang w:val="en-GB"/>
        </w:rPr>
      </w:pPr>
    </w:p>
    <w:p w14:paraId="1F2204ED" w14:textId="186BEEE2" w:rsidR="00352169" w:rsidRDefault="00A01686" w:rsidP="00D649AD">
      <w:pPr>
        <w:ind w:left="426" w:hanging="426"/>
        <w:rPr>
          <w:lang w:val="nl-NL"/>
        </w:rPr>
      </w:pPr>
      <w:r>
        <w:rPr>
          <w:lang w:val="nl-NL"/>
        </w:rPr>
        <w:t>*</w:t>
      </w:r>
      <w:r>
        <w:rPr>
          <w:lang w:val="nl-NL"/>
        </w:rPr>
        <w:tab/>
      </w:r>
      <w:bookmarkStart w:id="50" w:name="_Hlk87887137"/>
      <w:r w:rsidR="00F635C2" w:rsidRPr="00F635C2">
        <w:rPr>
          <w:rFonts w:hint="cs"/>
          <w:lang w:val="nl-NL"/>
        </w:rPr>
        <w:t>¹</w:t>
      </w:r>
      <w:r w:rsidR="00F635C2" w:rsidRPr="00F635C2">
        <w:rPr>
          <w:lang w:val="nl-NL"/>
        </w:rPr>
        <w:t xml:space="preserve"> Betreft staatsobligaties, inclusief inflation-linked bonds, van Nederland, Duitsland,  Belgi</w:t>
      </w:r>
      <w:r w:rsidR="00F635C2" w:rsidRPr="00F635C2">
        <w:rPr>
          <w:rFonts w:hint="cs"/>
          <w:lang w:val="nl-NL"/>
        </w:rPr>
        <w:t>ë</w:t>
      </w:r>
      <w:r w:rsidR="00F635C2" w:rsidRPr="00F635C2">
        <w:rPr>
          <w:lang w:val="nl-NL"/>
        </w:rPr>
        <w:t>, Oostenrijk, Finland, de Europese Unie (EU) en Ierland.</w:t>
      </w:r>
      <w:r w:rsidRPr="00A01686">
        <w:rPr>
          <w:lang w:val="nl-NL"/>
        </w:rPr>
        <w:t>.</w:t>
      </w:r>
    </w:p>
    <w:p w14:paraId="6A897326" w14:textId="1E886EAC" w:rsidR="00A01686" w:rsidRPr="00352169" w:rsidRDefault="00352169" w:rsidP="00D649AD">
      <w:pPr>
        <w:ind w:left="426" w:hanging="426"/>
        <w:rPr>
          <w:bCs/>
          <w:lang w:val="nl-NL"/>
        </w:rPr>
      </w:pPr>
      <w:r>
        <w:rPr>
          <w:lang w:val="nl-NL"/>
        </w:rPr>
        <w:t>**</w:t>
      </w:r>
      <w:r>
        <w:rPr>
          <w:lang w:val="nl-NL"/>
        </w:rPr>
        <w:tab/>
      </w:r>
      <w:r w:rsidR="0075325B">
        <w:rPr>
          <w:lang w:val="nl-NL"/>
        </w:rPr>
        <w:t>Euro</w:t>
      </w:r>
      <w:r w:rsidR="00B56DA2">
        <w:rPr>
          <w:lang w:val="nl-NL"/>
        </w:rPr>
        <w:t xml:space="preserve"> </w:t>
      </w:r>
      <w:r w:rsidR="0075325B">
        <w:rPr>
          <w:lang w:val="nl-NL"/>
        </w:rPr>
        <w:t>gedenomineerde</w:t>
      </w:r>
      <w:r w:rsidR="0049188E">
        <w:rPr>
          <w:lang w:val="nl-NL"/>
        </w:rPr>
        <w:t xml:space="preserve"> </w:t>
      </w:r>
      <w:r w:rsidR="00C42F3B">
        <w:rPr>
          <w:lang w:val="nl-NL"/>
        </w:rPr>
        <w:t>(</w:t>
      </w:r>
      <w:r w:rsidR="0049188E">
        <w:rPr>
          <w:lang w:val="nl-NL"/>
        </w:rPr>
        <w:t>semi</w:t>
      </w:r>
      <w:r w:rsidR="00C42F3B">
        <w:rPr>
          <w:lang w:val="nl-NL"/>
        </w:rPr>
        <w:t xml:space="preserve">)overheden, </w:t>
      </w:r>
      <w:r w:rsidR="0049188E">
        <w:rPr>
          <w:lang w:val="nl-NL"/>
        </w:rPr>
        <w:t>agencie</w:t>
      </w:r>
      <w:r w:rsidR="00C42F3B">
        <w:rPr>
          <w:lang w:val="nl-NL"/>
        </w:rPr>
        <w:t xml:space="preserve">s, </w:t>
      </w:r>
      <w:r w:rsidR="0049188E">
        <w:rPr>
          <w:lang w:val="nl-NL"/>
        </w:rPr>
        <w:t>supranationa</w:t>
      </w:r>
      <w:r w:rsidR="00C42F3B">
        <w:rPr>
          <w:lang w:val="nl-NL"/>
        </w:rPr>
        <w:t>le instellingen</w:t>
      </w:r>
      <w:r w:rsidR="0049188E">
        <w:rPr>
          <w:lang w:val="nl-NL"/>
        </w:rPr>
        <w:t xml:space="preserve"> ui</w:t>
      </w:r>
      <w:r w:rsidR="00810EC5">
        <w:rPr>
          <w:lang w:val="nl-NL"/>
        </w:rPr>
        <w:t>t</w:t>
      </w:r>
      <w:r w:rsidR="0049188E">
        <w:rPr>
          <w:lang w:val="nl-NL"/>
        </w:rPr>
        <w:t xml:space="preserve"> Ontwikkelde landen</w:t>
      </w:r>
      <w:r w:rsidR="003922CC">
        <w:rPr>
          <w:lang w:val="nl-NL"/>
        </w:rPr>
        <w:t xml:space="preserve">, </w:t>
      </w:r>
      <w:r w:rsidR="00C73DB1">
        <w:rPr>
          <w:lang w:val="nl-NL"/>
        </w:rPr>
        <w:t>bijvoorbeeld</w:t>
      </w:r>
      <w:r w:rsidR="003922CC">
        <w:rPr>
          <w:lang w:val="nl-NL"/>
        </w:rPr>
        <w:t xml:space="preserve"> </w:t>
      </w:r>
      <w:r w:rsidRPr="00177A54">
        <w:rPr>
          <w:bCs/>
          <w:lang w:val="nl-NL"/>
        </w:rPr>
        <w:t>ESM, EFSF, EIB, Wereldbank, Nederlandsche Waterschapsbank, Bank Nederlandse Gemeenten etc.</w:t>
      </w:r>
      <w:r w:rsidR="00D605AA">
        <w:rPr>
          <w:bCs/>
          <w:lang w:val="nl-NL"/>
        </w:rPr>
        <w:t xml:space="preserve"> </w:t>
      </w:r>
      <w:r w:rsidRPr="00177A54">
        <w:rPr>
          <w:bCs/>
          <w:lang w:val="nl-NL"/>
        </w:rPr>
        <w:t>(exclusief Europese Unie)</w:t>
      </w:r>
      <w:r w:rsidR="00B46036" w:rsidRPr="00352169">
        <w:rPr>
          <w:bCs/>
          <w:lang w:val="nl-NL"/>
        </w:rPr>
        <w:t xml:space="preserve"> </w:t>
      </w:r>
      <w:r w:rsidR="00B46036" w:rsidRPr="00177A54">
        <w:rPr>
          <w:bCs/>
          <w:color w:val="FFFFFF" w:themeColor="background1"/>
          <w:lang w:val="nl-NL"/>
        </w:rPr>
        <w:t>Staatsobligaties</w:t>
      </w:r>
    </w:p>
    <w:p w14:paraId="216FB1EC" w14:textId="10F8EA6C" w:rsidR="00A01686" w:rsidRDefault="00A01686" w:rsidP="00D649AD">
      <w:pPr>
        <w:ind w:left="426" w:hanging="426"/>
        <w:rPr>
          <w:lang w:val="nl-NL"/>
        </w:rPr>
      </w:pPr>
      <w:r>
        <w:rPr>
          <w:lang w:val="nl-NL"/>
        </w:rPr>
        <w:t>**</w:t>
      </w:r>
      <w:r w:rsidR="00352169">
        <w:rPr>
          <w:lang w:val="nl-NL"/>
        </w:rPr>
        <w:t>*</w:t>
      </w:r>
      <w:r>
        <w:rPr>
          <w:lang w:val="nl-NL"/>
        </w:rPr>
        <w:tab/>
      </w:r>
      <w:r w:rsidRPr="00A01686">
        <w:rPr>
          <w:lang w:val="nl-NL"/>
        </w:rPr>
        <w:t>Landenrating covered bond debiteur min. AA-/AA3.</w:t>
      </w:r>
    </w:p>
    <w:p w14:paraId="3845F0C6" w14:textId="64E91117" w:rsidR="00AF21FE" w:rsidRPr="00C6025F" w:rsidRDefault="00AF21FE" w:rsidP="00D649AD">
      <w:pPr>
        <w:ind w:left="426" w:hanging="426"/>
      </w:pPr>
      <w:r w:rsidRPr="00C6025F">
        <w:t>****  S&amp;P, Moody</w:t>
      </w:r>
      <w:r w:rsidRPr="00C6025F">
        <w:rPr>
          <w:rFonts w:hint="cs"/>
        </w:rPr>
        <w:t>’</w:t>
      </w:r>
      <w:r w:rsidRPr="00C6025F">
        <w:t>s en Fitch</w:t>
      </w:r>
    </w:p>
    <w:p w14:paraId="49D186D1" w14:textId="7EDB1AEB" w:rsidR="001037E1" w:rsidRPr="00C6025F" w:rsidRDefault="001037E1" w:rsidP="00D649AD">
      <w:pPr>
        <w:ind w:left="426" w:hanging="426"/>
      </w:pPr>
      <w:r w:rsidRPr="00C6025F">
        <w:t>***** Exclusief cash</w:t>
      </w:r>
    </w:p>
    <w:bookmarkEnd w:id="50"/>
    <w:p w14:paraId="55096B3F" w14:textId="36187949" w:rsidR="00A01686" w:rsidRPr="00C6025F" w:rsidRDefault="00A01686" w:rsidP="00A01686">
      <w:pPr>
        <w:ind w:left="426" w:hanging="426"/>
      </w:pPr>
      <w:r w:rsidRPr="00C6025F">
        <w:tab/>
      </w:r>
    </w:p>
    <w:p w14:paraId="656438C9" w14:textId="77777777" w:rsidR="00A01686" w:rsidRPr="00C6025F" w:rsidRDefault="00A01686" w:rsidP="00A01686"/>
    <w:p w14:paraId="50E35C3F" w14:textId="77777777" w:rsidR="00A01686" w:rsidRPr="00A01686" w:rsidRDefault="00A01686" w:rsidP="00A01686">
      <w:pPr>
        <w:rPr>
          <w:i/>
          <w:lang w:val="nl-NL"/>
        </w:rPr>
      </w:pPr>
      <w:r w:rsidRPr="00A01686">
        <w:rPr>
          <w:i/>
          <w:lang w:val="nl-NL"/>
        </w:rPr>
        <w:t>Derivatenportefeuille</w:t>
      </w:r>
    </w:p>
    <w:p w14:paraId="3D56C5F0" w14:textId="02D44161" w:rsidR="00A01686" w:rsidRPr="00A01686" w:rsidRDefault="003B038E" w:rsidP="00A01686">
      <w:pPr>
        <w:rPr>
          <w:lang w:val="nl-NL"/>
        </w:rPr>
      </w:pPr>
      <w:r w:rsidRPr="00FF0989">
        <w:rPr>
          <w:lang w:val="nl-NL"/>
        </w:rPr>
        <w:t xml:space="preserve">De </w:t>
      </w:r>
      <w:r>
        <w:rPr>
          <w:lang w:val="nl-NL"/>
        </w:rPr>
        <w:t xml:space="preserve">matching </w:t>
      </w:r>
      <w:r w:rsidRPr="00FF0989">
        <w:rPr>
          <w:lang w:val="nl-NL"/>
        </w:rPr>
        <w:t>portefeuille</w:t>
      </w:r>
      <w:r>
        <w:rPr>
          <w:lang w:val="nl-NL"/>
        </w:rPr>
        <w:t xml:space="preserve"> </w:t>
      </w:r>
      <w:r w:rsidRPr="00FF0989">
        <w:rPr>
          <w:lang w:val="nl-NL"/>
        </w:rPr>
        <w:t xml:space="preserve">kan bij voldoende onderpand en indien </w:t>
      </w:r>
      <w:r w:rsidR="00DB4B32">
        <w:rPr>
          <w:lang w:val="nl-NL"/>
        </w:rPr>
        <w:t>gewenst</w:t>
      </w:r>
      <w:r w:rsidRPr="00FF0989">
        <w:rPr>
          <w:lang w:val="nl-NL"/>
        </w:rPr>
        <w:t xml:space="preserve"> aangevuld worden met renteswaps ter afdekking van het renterisico. </w:t>
      </w:r>
    </w:p>
    <w:p w14:paraId="44F454FD" w14:textId="77777777" w:rsidR="00A01686" w:rsidRPr="00A01686" w:rsidRDefault="00A01686" w:rsidP="00A01686">
      <w:pPr>
        <w:rPr>
          <w:lang w:val="nl-NL"/>
        </w:rPr>
      </w:pPr>
    </w:p>
    <w:p w14:paraId="6C6D4EB7" w14:textId="7FB81270" w:rsidR="00A01686" w:rsidRPr="00A01686" w:rsidRDefault="00A01686" w:rsidP="00A01686">
      <w:pPr>
        <w:rPr>
          <w:lang w:val="nl-NL"/>
        </w:rPr>
      </w:pPr>
      <w:r w:rsidRPr="00A01686">
        <w:rPr>
          <w:lang w:val="nl-NL"/>
        </w:rPr>
        <w:t xml:space="preserve">Bij het (eventuele) gebruik van rentederivaten gelden diverse eisen ten aanzien van de tegenpartij, zoals </w:t>
      </w:r>
      <w:r w:rsidR="001D4DD9">
        <w:rPr>
          <w:lang w:val="nl-NL"/>
        </w:rPr>
        <w:t xml:space="preserve">ten aanzien van </w:t>
      </w:r>
      <w:r w:rsidRPr="00A01686">
        <w:rPr>
          <w:lang w:val="nl-NL"/>
        </w:rPr>
        <w:t>kredietwaardigheid en ten aanzien van de uitwisseling van onderpand.</w:t>
      </w:r>
      <w:r w:rsidR="00277AD2">
        <w:rPr>
          <w:lang w:val="nl-NL"/>
        </w:rPr>
        <w:t xml:space="preserve"> Renteswaps worden afgewikkeld via</w:t>
      </w:r>
      <w:r w:rsidR="00922E90">
        <w:rPr>
          <w:lang w:val="nl-NL"/>
        </w:rPr>
        <w:t xml:space="preserve"> een</w:t>
      </w:r>
      <w:r w:rsidR="00277AD2">
        <w:rPr>
          <w:lang w:val="nl-NL"/>
        </w:rPr>
        <w:t xml:space="preserve"> CCP.</w:t>
      </w:r>
    </w:p>
    <w:p w14:paraId="3871B665" w14:textId="77777777" w:rsidR="00A01686" w:rsidRPr="00A01686" w:rsidRDefault="00A01686" w:rsidP="00A01686">
      <w:pPr>
        <w:rPr>
          <w:lang w:val="nl-NL"/>
        </w:rPr>
      </w:pPr>
    </w:p>
    <w:p w14:paraId="7D6F1A87" w14:textId="77777777" w:rsidR="00A01686" w:rsidRPr="00A01686" w:rsidRDefault="00A01686" w:rsidP="00A01686">
      <w:pPr>
        <w:rPr>
          <w:i/>
          <w:lang w:val="nl-NL"/>
        </w:rPr>
      </w:pPr>
      <w:r w:rsidRPr="00A01686">
        <w:rPr>
          <w:i/>
          <w:lang w:val="nl-NL"/>
        </w:rPr>
        <w:t>Cash</w:t>
      </w:r>
    </w:p>
    <w:p w14:paraId="2A59A514" w14:textId="53A857AF" w:rsidR="00A01686" w:rsidRDefault="00A01686" w:rsidP="00A01686">
      <w:pPr>
        <w:rPr>
          <w:lang w:val="nl-NL"/>
        </w:rPr>
      </w:pPr>
      <w:r w:rsidRPr="00A01686">
        <w:rPr>
          <w:lang w:val="nl-NL"/>
        </w:rPr>
        <w:t xml:space="preserve">In plaats van cash kan het fonds ook kortlopende staatsobligaties in de matching portefeuille opnemen. Tenslotte kan </w:t>
      </w:r>
      <w:r w:rsidR="005D7560">
        <w:rPr>
          <w:lang w:val="nl-NL"/>
        </w:rPr>
        <w:t>ons</w:t>
      </w:r>
      <w:r w:rsidR="005D7560" w:rsidRPr="00A01686">
        <w:rPr>
          <w:lang w:val="nl-NL"/>
        </w:rPr>
        <w:t xml:space="preserve"> </w:t>
      </w:r>
      <w:r w:rsidRPr="00A01686">
        <w:rPr>
          <w:lang w:val="nl-NL"/>
        </w:rPr>
        <w:t>fonds</w:t>
      </w:r>
      <w:r w:rsidR="008C3C83">
        <w:rPr>
          <w:lang w:val="nl-NL"/>
        </w:rPr>
        <w:t xml:space="preserve"> deposito’s plaatsen</w:t>
      </w:r>
      <w:r w:rsidRPr="00A01686">
        <w:rPr>
          <w:lang w:val="nl-NL"/>
        </w:rPr>
        <w:t xml:space="preserve"> bij vooraf geselecteerde banken.</w:t>
      </w:r>
      <w:r w:rsidR="00143858" w:rsidRPr="00143858">
        <w:rPr>
          <w:lang w:val="nl-NL"/>
        </w:rPr>
        <w:t xml:space="preserve"> </w:t>
      </w:r>
    </w:p>
    <w:p w14:paraId="4C1EC9CE" w14:textId="77777777" w:rsidR="00A01686" w:rsidRPr="00A01686" w:rsidRDefault="00A01686" w:rsidP="00A01686">
      <w:pPr>
        <w:rPr>
          <w:lang w:val="nl-NL"/>
        </w:rPr>
      </w:pPr>
    </w:p>
    <w:p w14:paraId="5430BFFF" w14:textId="77777777" w:rsidR="00A01686" w:rsidRPr="00A01686" w:rsidRDefault="00A01686" w:rsidP="00A01686">
      <w:pPr>
        <w:pStyle w:val="Kop2"/>
        <w:rPr>
          <w:rFonts w:hint="eastAsia"/>
          <w:lang w:val="nl-NL"/>
        </w:rPr>
      </w:pPr>
      <w:bookmarkStart w:id="51" w:name="_Toc231804776"/>
      <w:r>
        <w:rPr>
          <w:lang w:val="nl-NL"/>
        </w:rPr>
        <w:t>Return portefeuille</w:t>
      </w:r>
      <w:bookmarkEnd w:id="51"/>
    </w:p>
    <w:p w14:paraId="6D428382" w14:textId="77777777" w:rsidR="00A01686" w:rsidRDefault="00A01686" w:rsidP="00A01686">
      <w:pPr>
        <w:rPr>
          <w:lang w:val="nl-NL"/>
        </w:rPr>
      </w:pPr>
    </w:p>
    <w:p w14:paraId="2BBC0551" w14:textId="27E94EC4" w:rsidR="00A01686" w:rsidRDefault="00EA62A5" w:rsidP="00A01686">
      <w:pPr>
        <w:rPr>
          <w:lang w:val="nl-NL"/>
        </w:rPr>
      </w:pPr>
      <w:r>
        <w:rPr>
          <w:lang w:val="nl-NL"/>
        </w:rPr>
        <w:t>Door middel van</w:t>
      </w:r>
      <w:r w:rsidRPr="00A01686">
        <w:rPr>
          <w:lang w:val="nl-NL"/>
        </w:rPr>
        <w:t xml:space="preserve"> </w:t>
      </w:r>
      <w:r w:rsidR="00A01686" w:rsidRPr="00A01686">
        <w:rPr>
          <w:lang w:val="nl-NL"/>
        </w:rPr>
        <w:t>de return</w:t>
      </w:r>
      <w:r w:rsidR="001D4DD9">
        <w:rPr>
          <w:lang w:val="nl-NL"/>
        </w:rPr>
        <w:t xml:space="preserve"> </w:t>
      </w:r>
      <w:r w:rsidR="00A01686" w:rsidRPr="00A01686">
        <w:rPr>
          <w:lang w:val="nl-NL"/>
        </w:rPr>
        <w:t xml:space="preserve">portefeuille streeft </w:t>
      </w:r>
      <w:r>
        <w:rPr>
          <w:lang w:val="nl-NL"/>
        </w:rPr>
        <w:t>ons</w:t>
      </w:r>
      <w:r w:rsidRPr="00A01686">
        <w:rPr>
          <w:lang w:val="nl-NL"/>
        </w:rPr>
        <w:t xml:space="preserve"> </w:t>
      </w:r>
      <w:r w:rsidR="00A01686" w:rsidRPr="00A01686">
        <w:rPr>
          <w:lang w:val="nl-NL"/>
        </w:rPr>
        <w:t>fonds rendement na om in de toekomst eventuele toeslagen te verlenen. De risicopremie varieert door de tijd heen, vandaar dat de strategische weging een bandbreedte kent. De return portefeuille bestaat uit de onderdelen aandelen</w:t>
      </w:r>
      <w:r w:rsidR="00DB4B32">
        <w:rPr>
          <w:lang w:val="nl-NL"/>
        </w:rPr>
        <w:t>,</w:t>
      </w:r>
      <w:r w:rsidR="00A01686" w:rsidRPr="00A01686">
        <w:rPr>
          <w:lang w:val="nl-NL"/>
        </w:rPr>
        <w:t xml:space="preserve"> vastgoed</w:t>
      </w:r>
      <w:r w:rsidR="00DB4B32">
        <w:rPr>
          <w:lang w:val="nl-NL"/>
        </w:rPr>
        <w:t xml:space="preserve"> en bedrijfsobligaties</w:t>
      </w:r>
      <w:r w:rsidR="00A01686" w:rsidRPr="00A01686">
        <w:rPr>
          <w:lang w:val="nl-NL"/>
        </w:rPr>
        <w:t xml:space="preserve">. Beide kunnen weer opgedeeld worden in subcategorieën, waarvan het risico kan verschillen. Het strategisch doelgewicht van de return portefeuille </w:t>
      </w:r>
      <w:bookmarkStart w:id="52" w:name="_Hlk87887269"/>
      <w:r w:rsidR="00352169">
        <w:rPr>
          <w:lang w:val="nl-NL"/>
        </w:rPr>
        <w:t>bedraagt 50%.</w:t>
      </w:r>
    </w:p>
    <w:bookmarkEnd w:id="52"/>
    <w:p w14:paraId="6724CE43" w14:textId="77777777" w:rsidR="00A01686" w:rsidRPr="00A01686" w:rsidRDefault="00A01686" w:rsidP="00A01686">
      <w:pPr>
        <w:rPr>
          <w:lang w:val="nl-NL"/>
        </w:rPr>
      </w:pPr>
    </w:p>
    <w:p w14:paraId="0A09D861" w14:textId="6F3F4DB5" w:rsidR="00A01686" w:rsidRPr="00A01686" w:rsidRDefault="00A01686" w:rsidP="00A01686">
      <w:pPr>
        <w:rPr>
          <w:lang w:val="nl-NL"/>
        </w:rPr>
      </w:pPr>
      <w:r w:rsidRPr="00A01686">
        <w:rPr>
          <w:lang w:val="nl-NL"/>
        </w:rPr>
        <w:t>In de beleggings</w:t>
      </w:r>
      <w:r w:rsidR="006F50ED">
        <w:rPr>
          <w:lang w:val="nl-NL"/>
        </w:rPr>
        <w:t>beginselen</w:t>
      </w:r>
      <w:r w:rsidRPr="00A01686">
        <w:rPr>
          <w:lang w:val="nl-NL"/>
        </w:rPr>
        <w:t xml:space="preserve"> van </w:t>
      </w:r>
      <w:r w:rsidR="00EA62A5">
        <w:rPr>
          <w:lang w:val="nl-NL"/>
        </w:rPr>
        <w:t>ons fonds</w:t>
      </w:r>
      <w:r w:rsidRPr="00A01686">
        <w:rPr>
          <w:lang w:val="nl-NL"/>
        </w:rPr>
        <w:t xml:space="preserve"> staat opgenomen dat het uitgangspunt voor beleggen is: ”passief tenzij… .”. Voor een startend pensioenfonds is het allereerst belangrijk dat de ”ALM-“ c.q. marktr</w:t>
      </w:r>
      <w:r>
        <w:rPr>
          <w:lang w:val="nl-NL"/>
        </w:rPr>
        <w:t>endementen worden gerealiseerd.</w:t>
      </w:r>
      <w:r w:rsidR="00737202">
        <w:rPr>
          <w:lang w:val="nl-NL"/>
        </w:rPr>
        <w:t xml:space="preserve"> </w:t>
      </w:r>
      <w:r w:rsidRPr="00A01686">
        <w:rPr>
          <w:lang w:val="nl-NL"/>
        </w:rPr>
        <w:t xml:space="preserve">Het behalen van out-performance via specialistische mandaten kan voor zover consistent realiseerbaar, in een latere fase overwogen worden. Vandaar dat bij de opbouw </w:t>
      </w:r>
      <w:r w:rsidR="001C2CF0">
        <w:rPr>
          <w:lang w:val="nl-NL"/>
        </w:rPr>
        <w:t xml:space="preserve">van </w:t>
      </w:r>
      <w:r w:rsidR="00EA62A5">
        <w:rPr>
          <w:lang w:val="nl-NL"/>
        </w:rPr>
        <w:t xml:space="preserve">ons </w:t>
      </w:r>
      <w:r w:rsidR="001C2CF0">
        <w:rPr>
          <w:lang w:val="nl-NL"/>
        </w:rPr>
        <w:t xml:space="preserve">fonds </w:t>
      </w:r>
      <w:r w:rsidRPr="00A01686">
        <w:rPr>
          <w:lang w:val="nl-NL"/>
        </w:rPr>
        <w:t xml:space="preserve">gekozen </w:t>
      </w:r>
      <w:r w:rsidR="001C2CF0">
        <w:rPr>
          <w:lang w:val="nl-NL"/>
        </w:rPr>
        <w:t>is</w:t>
      </w:r>
      <w:r w:rsidRPr="00A01686">
        <w:rPr>
          <w:lang w:val="nl-NL"/>
        </w:rPr>
        <w:t xml:space="preserve"> voor een passieve aanpak bij aandelen</w:t>
      </w:r>
      <w:bookmarkStart w:id="53" w:name="_Hlk87887300"/>
      <w:r w:rsidR="00352169">
        <w:rPr>
          <w:lang w:val="nl-NL"/>
        </w:rPr>
        <w:t xml:space="preserve"> ontwikkelde markten, sinds 2020 worden aandelen opkomende markten actief beheerd door twee externe vermogensbeheerders</w:t>
      </w:r>
      <w:r w:rsidRPr="00A01686">
        <w:rPr>
          <w:lang w:val="nl-NL"/>
        </w:rPr>
        <w:t>.</w:t>
      </w:r>
      <w:bookmarkEnd w:id="53"/>
      <w:r w:rsidR="00ED41D4" w:rsidRPr="00ED41D4">
        <w:rPr>
          <w:lang w:val="nl-NL"/>
        </w:rPr>
        <w:t xml:space="preserve"> </w:t>
      </w:r>
      <w:r w:rsidR="00AE592B">
        <w:rPr>
          <w:lang w:val="nl-NL"/>
        </w:rPr>
        <w:t xml:space="preserve">Sinds 2023 </w:t>
      </w:r>
      <w:r w:rsidR="008F4FE1">
        <w:rPr>
          <w:lang w:val="nl-NL"/>
        </w:rPr>
        <w:t xml:space="preserve">is de aandelenportefeuille </w:t>
      </w:r>
      <w:r w:rsidR="00AE592B">
        <w:rPr>
          <w:lang w:val="nl-NL"/>
        </w:rPr>
        <w:t>verder gediversificeerd met de opname van Europe</w:t>
      </w:r>
      <w:r w:rsidR="0036476E">
        <w:rPr>
          <w:lang w:val="nl-NL"/>
        </w:rPr>
        <w:t>se</w:t>
      </w:r>
      <w:r w:rsidR="00AE592B">
        <w:rPr>
          <w:lang w:val="nl-NL"/>
        </w:rPr>
        <w:t xml:space="preserve"> en Japanse small caps</w:t>
      </w:r>
      <w:r w:rsidR="00521784">
        <w:rPr>
          <w:lang w:val="nl-NL"/>
        </w:rPr>
        <w:t xml:space="preserve"> die ook actief beheerd worden</w:t>
      </w:r>
      <w:r w:rsidR="00AE592B">
        <w:rPr>
          <w:lang w:val="nl-NL"/>
        </w:rPr>
        <w:t>.</w:t>
      </w:r>
    </w:p>
    <w:p w14:paraId="36BEB444" w14:textId="77777777" w:rsidR="00A01686" w:rsidRPr="00A01686" w:rsidRDefault="00A01686" w:rsidP="00A01686">
      <w:pPr>
        <w:rPr>
          <w:lang w:val="nl-NL"/>
        </w:rPr>
      </w:pPr>
    </w:p>
    <w:p w14:paraId="4D1662EE" w14:textId="6A950E77" w:rsidR="00A01686" w:rsidRPr="00A01686" w:rsidRDefault="00A33765" w:rsidP="00A01686">
      <w:pPr>
        <w:rPr>
          <w:lang w:val="nl-NL"/>
        </w:rPr>
      </w:pPr>
      <w:r>
        <w:rPr>
          <w:lang w:val="nl-NL"/>
        </w:rPr>
        <w:t>Door het karakter van de beleggingen kan d</w:t>
      </w:r>
      <w:r w:rsidR="00845AE6">
        <w:rPr>
          <w:lang w:val="nl-NL"/>
        </w:rPr>
        <w:t xml:space="preserve">irect vastgoed niet </w:t>
      </w:r>
      <w:r w:rsidR="00F30D3A">
        <w:rPr>
          <w:lang w:val="nl-NL"/>
        </w:rPr>
        <w:t>passief belegd worden.</w:t>
      </w:r>
    </w:p>
    <w:p w14:paraId="6EDE1036" w14:textId="77777777" w:rsidR="00A01686" w:rsidRPr="00A01686" w:rsidRDefault="00A01686" w:rsidP="00A01686">
      <w:pPr>
        <w:rPr>
          <w:lang w:val="nl-NL"/>
        </w:rPr>
      </w:pPr>
    </w:p>
    <w:p w14:paraId="5820D9F5" w14:textId="02CC2C00" w:rsidR="00DE6E5C" w:rsidRDefault="00A01686" w:rsidP="00A01686">
      <w:pPr>
        <w:rPr>
          <w:lang w:val="nl-NL"/>
        </w:rPr>
      </w:pPr>
      <w:r w:rsidRPr="00A01686">
        <w:rPr>
          <w:lang w:val="nl-NL"/>
        </w:rPr>
        <w:t>De verdeling over aandelen</w:t>
      </w:r>
      <w:r w:rsidR="001C2CF0">
        <w:rPr>
          <w:lang w:val="nl-NL"/>
        </w:rPr>
        <w:t>, bedrijfsobligaties</w:t>
      </w:r>
      <w:r w:rsidRPr="00A01686">
        <w:rPr>
          <w:lang w:val="nl-NL"/>
        </w:rPr>
        <w:t xml:space="preserve"> en vastgoed luidt als volgt:</w:t>
      </w:r>
    </w:p>
    <w:p w14:paraId="090AEA53" w14:textId="77777777" w:rsidR="00A01686" w:rsidRPr="00A01686" w:rsidRDefault="00A01686" w:rsidP="00A01686">
      <w:pPr>
        <w:rPr>
          <w:lang w:val="nl-NL"/>
        </w:rPr>
      </w:pPr>
    </w:p>
    <w:tbl>
      <w:tblPr>
        <w:tblStyle w:val="Tabelraster"/>
        <w:tblW w:w="0" w:type="auto"/>
        <w:tblBorders>
          <w:top w:val="single" w:sz="4" w:space="0" w:color="00AFD2" w:themeColor="accent1"/>
          <w:left w:val="single" w:sz="4" w:space="0" w:color="00AFD2" w:themeColor="accent1"/>
          <w:bottom w:val="single" w:sz="4" w:space="0" w:color="00AFD2" w:themeColor="accent1"/>
          <w:right w:val="single" w:sz="4" w:space="0" w:color="00AFD2" w:themeColor="accent1"/>
          <w:insideH w:val="single" w:sz="4" w:space="0" w:color="00AFD2" w:themeColor="accent1"/>
          <w:insideV w:val="single" w:sz="4" w:space="0" w:color="00AFD2" w:themeColor="accent1"/>
        </w:tblBorders>
        <w:tblLook w:val="04A0" w:firstRow="1" w:lastRow="0" w:firstColumn="1" w:lastColumn="0" w:noHBand="0" w:noVBand="1"/>
      </w:tblPr>
      <w:tblGrid>
        <w:gridCol w:w="3038"/>
        <w:gridCol w:w="3009"/>
        <w:gridCol w:w="3014"/>
      </w:tblGrid>
      <w:tr w:rsidR="00A01686" w:rsidRPr="00A01686" w14:paraId="18B4F340" w14:textId="77777777" w:rsidTr="000E2DD1">
        <w:tc>
          <w:tcPr>
            <w:tcW w:w="3038" w:type="dxa"/>
            <w:shd w:val="clear" w:color="auto" w:fill="00AFD2" w:themeFill="accent1"/>
          </w:tcPr>
          <w:p w14:paraId="31A1D4BA" w14:textId="77777777" w:rsidR="00A01686" w:rsidRPr="00A01686" w:rsidRDefault="00A01686" w:rsidP="00A01686">
            <w:pPr>
              <w:spacing w:before="20" w:after="20"/>
              <w:rPr>
                <w:b/>
                <w:color w:val="FFFFFF" w:themeColor="background1"/>
                <w:lang w:val="nl-NL"/>
              </w:rPr>
            </w:pPr>
            <w:r w:rsidRPr="00A01686">
              <w:rPr>
                <w:b/>
                <w:color w:val="FFFFFF" w:themeColor="background1"/>
                <w:lang w:val="nl-NL"/>
              </w:rPr>
              <w:t>Return portefeuille</w:t>
            </w:r>
          </w:p>
        </w:tc>
        <w:tc>
          <w:tcPr>
            <w:tcW w:w="3009" w:type="dxa"/>
            <w:shd w:val="clear" w:color="auto" w:fill="00AFD2" w:themeFill="accent1"/>
          </w:tcPr>
          <w:p w14:paraId="286AB11F" w14:textId="69A79E04" w:rsidR="00A01686" w:rsidRPr="00A01686" w:rsidRDefault="00A01686" w:rsidP="00A01686">
            <w:pPr>
              <w:spacing w:before="20" w:after="20"/>
              <w:jc w:val="center"/>
              <w:rPr>
                <w:b/>
                <w:color w:val="FFFFFF" w:themeColor="background1"/>
                <w:lang w:val="nl-NL"/>
              </w:rPr>
            </w:pPr>
            <w:r w:rsidRPr="00A01686">
              <w:rPr>
                <w:b/>
                <w:color w:val="FFFFFF" w:themeColor="background1"/>
                <w:lang w:val="nl-NL"/>
              </w:rPr>
              <w:t xml:space="preserve">Doelweging </w:t>
            </w:r>
          </w:p>
        </w:tc>
        <w:tc>
          <w:tcPr>
            <w:tcW w:w="3014" w:type="dxa"/>
            <w:shd w:val="clear" w:color="auto" w:fill="00AFD2" w:themeFill="accent1"/>
          </w:tcPr>
          <w:p w14:paraId="2019CC07" w14:textId="77777777" w:rsidR="00A01686" w:rsidRPr="00A01686" w:rsidRDefault="00A01686" w:rsidP="00A01686">
            <w:pPr>
              <w:spacing w:before="20" w:after="20"/>
              <w:jc w:val="center"/>
              <w:rPr>
                <w:b/>
                <w:color w:val="FFFFFF" w:themeColor="background1"/>
                <w:lang w:val="nl-NL"/>
              </w:rPr>
            </w:pPr>
            <w:r w:rsidRPr="00A01686">
              <w:rPr>
                <w:b/>
                <w:color w:val="FFFFFF" w:themeColor="background1"/>
                <w:lang w:val="nl-NL"/>
              </w:rPr>
              <w:t>Bandbreedte</w:t>
            </w:r>
          </w:p>
        </w:tc>
      </w:tr>
      <w:tr w:rsidR="009442D1" w:rsidRPr="009442D1" w14:paraId="12699E0B" w14:textId="77777777" w:rsidTr="000E2DD1">
        <w:tc>
          <w:tcPr>
            <w:tcW w:w="3038" w:type="dxa"/>
          </w:tcPr>
          <w:p w14:paraId="70E49565" w14:textId="77777777" w:rsidR="00A01686" w:rsidRPr="009442D1" w:rsidRDefault="00A01686" w:rsidP="00A01686">
            <w:pPr>
              <w:spacing w:before="20" w:after="20"/>
              <w:rPr>
                <w:b/>
                <w:lang w:val="nl-NL"/>
              </w:rPr>
            </w:pPr>
            <w:r w:rsidRPr="009442D1">
              <w:rPr>
                <w:b/>
                <w:lang w:val="nl-NL"/>
              </w:rPr>
              <w:t>Aandelen</w:t>
            </w:r>
          </w:p>
        </w:tc>
        <w:tc>
          <w:tcPr>
            <w:tcW w:w="3009" w:type="dxa"/>
          </w:tcPr>
          <w:p w14:paraId="0C4437E9" w14:textId="77777777" w:rsidR="00A01686" w:rsidRPr="009442D1" w:rsidRDefault="00B87806" w:rsidP="00A01686">
            <w:pPr>
              <w:spacing w:before="20" w:after="20"/>
              <w:jc w:val="center"/>
              <w:rPr>
                <w:lang w:val="nl-NL"/>
              </w:rPr>
            </w:pPr>
            <w:r>
              <w:rPr>
                <w:lang w:val="nl-NL"/>
              </w:rPr>
              <w:t>30</w:t>
            </w:r>
            <w:r w:rsidR="00A01686" w:rsidRPr="009442D1">
              <w:rPr>
                <w:lang w:val="nl-NL"/>
              </w:rPr>
              <w:t>%</w:t>
            </w:r>
          </w:p>
        </w:tc>
        <w:tc>
          <w:tcPr>
            <w:tcW w:w="3014" w:type="dxa"/>
          </w:tcPr>
          <w:p w14:paraId="30218EA2" w14:textId="07D19B71" w:rsidR="00A01686" w:rsidRPr="009442D1" w:rsidRDefault="00B87806" w:rsidP="00A01686">
            <w:pPr>
              <w:spacing w:before="20" w:after="20"/>
              <w:jc w:val="center"/>
              <w:rPr>
                <w:lang w:val="nl-NL"/>
              </w:rPr>
            </w:pPr>
            <w:r>
              <w:rPr>
                <w:lang w:val="nl-NL"/>
              </w:rPr>
              <w:t>2</w:t>
            </w:r>
            <w:r w:rsidR="00CF68B6">
              <w:rPr>
                <w:lang w:val="nl-NL"/>
              </w:rPr>
              <w:t>1</w:t>
            </w:r>
            <w:r w:rsidR="00A01686" w:rsidRPr="009442D1">
              <w:rPr>
                <w:lang w:val="nl-NL"/>
              </w:rPr>
              <w:t>%-</w:t>
            </w:r>
            <w:r w:rsidR="00CF68B6">
              <w:rPr>
                <w:lang w:val="nl-NL"/>
              </w:rPr>
              <w:t>39</w:t>
            </w:r>
            <w:r w:rsidR="00A01686" w:rsidRPr="009442D1">
              <w:rPr>
                <w:lang w:val="nl-NL"/>
              </w:rPr>
              <w:t>%</w:t>
            </w:r>
          </w:p>
        </w:tc>
      </w:tr>
      <w:tr w:rsidR="009442D1" w:rsidRPr="009442D1" w14:paraId="730EE3CD" w14:textId="77777777" w:rsidTr="000E2DD1">
        <w:tc>
          <w:tcPr>
            <w:tcW w:w="3038" w:type="dxa"/>
          </w:tcPr>
          <w:p w14:paraId="78E0C085" w14:textId="77777777" w:rsidR="00A01686" w:rsidRPr="009442D1" w:rsidRDefault="00A01686" w:rsidP="00A01686">
            <w:pPr>
              <w:spacing w:before="20" w:after="20"/>
              <w:rPr>
                <w:b/>
                <w:lang w:val="nl-NL"/>
              </w:rPr>
            </w:pPr>
            <w:r w:rsidRPr="009442D1">
              <w:rPr>
                <w:b/>
                <w:lang w:val="nl-NL"/>
              </w:rPr>
              <w:t>Vastgoed</w:t>
            </w:r>
          </w:p>
        </w:tc>
        <w:tc>
          <w:tcPr>
            <w:tcW w:w="3009" w:type="dxa"/>
          </w:tcPr>
          <w:p w14:paraId="614694D1" w14:textId="77777777" w:rsidR="00A01686" w:rsidRPr="009442D1" w:rsidRDefault="00B87806" w:rsidP="00A01686">
            <w:pPr>
              <w:spacing w:before="20" w:after="20"/>
              <w:jc w:val="center"/>
              <w:rPr>
                <w:lang w:val="nl-NL"/>
              </w:rPr>
            </w:pPr>
            <w:r>
              <w:rPr>
                <w:lang w:val="nl-NL"/>
              </w:rPr>
              <w:t>10</w:t>
            </w:r>
            <w:r w:rsidR="00A01686" w:rsidRPr="009442D1">
              <w:rPr>
                <w:lang w:val="nl-NL"/>
              </w:rPr>
              <w:t>%</w:t>
            </w:r>
          </w:p>
        </w:tc>
        <w:tc>
          <w:tcPr>
            <w:tcW w:w="3014" w:type="dxa"/>
          </w:tcPr>
          <w:p w14:paraId="6BC80258" w14:textId="77777777" w:rsidR="00A01686" w:rsidRPr="009442D1" w:rsidRDefault="00B87806" w:rsidP="00A01686">
            <w:pPr>
              <w:spacing w:before="20" w:after="20"/>
              <w:jc w:val="center"/>
              <w:rPr>
                <w:lang w:val="nl-NL"/>
              </w:rPr>
            </w:pPr>
            <w:r>
              <w:rPr>
                <w:lang w:val="nl-NL"/>
              </w:rPr>
              <w:t>6</w:t>
            </w:r>
            <w:r w:rsidR="00A01686" w:rsidRPr="009442D1">
              <w:rPr>
                <w:lang w:val="nl-NL"/>
              </w:rPr>
              <w:t>%-</w:t>
            </w:r>
            <w:r>
              <w:rPr>
                <w:lang w:val="nl-NL"/>
              </w:rPr>
              <w:t>14</w:t>
            </w:r>
            <w:r w:rsidR="00A01686" w:rsidRPr="009442D1">
              <w:rPr>
                <w:lang w:val="nl-NL"/>
              </w:rPr>
              <w:t>%</w:t>
            </w:r>
          </w:p>
        </w:tc>
      </w:tr>
      <w:tr w:rsidR="0069130F" w:rsidRPr="009442D1" w14:paraId="1853D27E" w14:textId="77777777" w:rsidTr="000E2DD1">
        <w:tc>
          <w:tcPr>
            <w:tcW w:w="3038" w:type="dxa"/>
          </w:tcPr>
          <w:p w14:paraId="0F28CDE9" w14:textId="626A48E3" w:rsidR="0069130F" w:rsidRPr="009442D1" w:rsidRDefault="0069130F" w:rsidP="0069130F">
            <w:pPr>
              <w:spacing w:before="20" w:after="20"/>
              <w:rPr>
                <w:b/>
                <w:lang w:val="nl-NL"/>
              </w:rPr>
            </w:pPr>
            <w:r>
              <w:rPr>
                <w:b/>
                <w:lang w:val="nl-NL"/>
              </w:rPr>
              <w:t>Investment grade bedrijfsobligaties</w:t>
            </w:r>
          </w:p>
        </w:tc>
        <w:tc>
          <w:tcPr>
            <w:tcW w:w="3009" w:type="dxa"/>
          </w:tcPr>
          <w:p w14:paraId="2B702C2D" w14:textId="227B0735" w:rsidR="0069130F" w:rsidRDefault="0069130F" w:rsidP="0069130F">
            <w:pPr>
              <w:spacing w:before="20" w:after="20"/>
              <w:jc w:val="center"/>
              <w:rPr>
                <w:lang w:val="nl-NL"/>
              </w:rPr>
            </w:pPr>
            <w:r>
              <w:rPr>
                <w:lang w:val="nl-NL"/>
              </w:rPr>
              <w:t>5%</w:t>
            </w:r>
          </w:p>
        </w:tc>
        <w:tc>
          <w:tcPr>
            <w:tcW w:w="3014" w:type="dxa"/>
          </w:tcPr>
          <w:p w14:paraId="095B8D99" w14:textId="7177FF8D" w:rsidR="0069130F" w:rsidRDefault="002245BD" w:rsidP="0069130F">
            <w:pPr>
              <w:spacing w:before="20" w:after="20"/>
              <w:jc w:val="center"/>
              <w:rPr>
                <w:lang w:val="nl-NL"/>
              </w:rPr>
            </w:pPr>
            <w:r>
              <w:rPr>
                <w:lang w:val="nl-NL"/>
              </w:rPr>
              <w:t>2</w:t>
            </w:r>
            <w:r w:rsidR="00AF21FE">
              <w:rPr>
                <w:lang w:val="nl-NL"/>
              </w:rPr>
              <w:t>,</w:t>
            </w:r>
            <w:r>
              <w:rPr>
                <w:lang w:val="nl-NL"/>
              </w:rPr>
              <w:t>5</w:t>
            </w:r>
            <w:r w:rsidR="00D25EDB">
              <w:rPr>
                <w:lang w:val="nl-NL"/>
              </w:rPr>
              <w:t>% - 7,</w:t>
            </w:r>
            <w:r w:rsidR="0069130F">
              <w:rPr>
                <w:lang w:val="nl-NL"/>
              </w:rPr>
              <w:t>5%</w:t>
            </w:r>
          </w:p>
        </w:tc>
      </w:tr>
      <w:tr w:rsidR="0069130F" w:rsidRPr="009442D1" w14:paraId="77965E85" w14:textId="77777777" w:rsidTr="000E2DD1">
        <w:tc>
          <w:tcPr>
            <w:tcW w:w="3038" w:type="dxa"/>
          </w:tcPr>
          <w:p w14:paraId="04F2466E" w14:textId="21930CCE" w:rsidR="0069130F" w:rsidRPr="009442D1" w:rsidRDefault="0069130F" w:rsidP="0069130F">
            <w:pPr>
              <w:spacing w:before="20" w:after="20"/>
              <w:rPr>
                <w:b/>
                <w:lang w:val="nl-NL"/>
              </w:rPr>
            </w:pPr>
            <w:r>
              <w:rPr>
                <w:b/>
                <w:lang w:val="nl-NL"/>
              </w:rPr>
              <w:t>High yield bedrijfsobligaties</w:t>
            </w:r>
          </w:p>
        </w:tc>
        <w:tc>
          <w:tcPr>
            <w:tcW w:w="3009" w:type="dxa"/>
          </w:tcPr>
          <w:p w14:paraId="113BD22B" w14:textId="77777777" w:rsidR="0069130F" w:rsidRDefault="0069130F" w:rsidP="0069130F">
            <w:pPr>
              <w:spacing w:before="20" w:after="20"/>
              <w:jc w:val="center"/>
              <w:rPr>
                <w:lang w:val="nl-NL"/>
              </w:rPr>
            </w:pPr>
            <w:r>
              <w:rPr>
                <w:lang w:val="nl-NL"/>
              </w:rPr>
              <w:t>5%</w:t>
            </w:r>
          </w:p>
          <w:p w14:paraId="5D848C80" w14:textId="55574D42" w:rsidR="00352169" w:rsidRDefault="00352169" w:rsidP="0069130F">
            <w:pPr>
              <w:spacing w:before="20" w:after="20"/>
              <w:jc w:val="center"/>
              <w:rPr>
                <w:lang w:val="nl-NL"/>
              </w:rPr>
            </w:pPr>
          </w:p>
        </w:tc>
        <w:tc>
          <w:tcPr>
            <w:tcW w:w="3014" w:type="dxa"/>
          </w:tcPr>
          <w:p w14:paraId="410F0096" w14:textId="76BB1D27" w:rsidR="0069130F" w:rsidRDefault="002245BD" w:rsidP="0069130F">
            <w:pPr>
              <w:spacing w:before="20" w:after="20"/>
              <w:jc w:val="center"/>
              <w:rPr>
                <w:lang w:val="nl-NL"/>
              </w:rPr>
            </w:pPr>
            <w:r>
              <w:rPr>
                <w:lang w:val="nl-NL"/>
              </w:rPr>
              <w:t>2</w:t>
            </w:r>
            <w:r w:rsidR="00AF21FE">
              <w:rPr>
                <w:lang w:val="nl-NL"/>
              </w:rPr>
              <w:t>,</w:t>
            </w:r>
            <w:r>
              <w:rPr>
                <w:lang w:val="nl-NL"/>
              </w:rPr>
              <w:t>5</w:t>
            </w:r>
            <w:r w:rsidR="00D25EDB">
              <w:rPr>
                <w:lang w:val="nl-NL"/>
              </w:rPr>
              <w:t>% - 7,</w:t>
            </w:r>
            <w:r w:rsidR="0069130F">
              <w:rPr>
                <w:lang w:val="nl-NL"/>
              </w:rPr>
              <w:t>5%</w:t>
            </w:r>
          </w:p>
        </w:tc>
      </w:tr>
      <w:tr w:rsidR="0069130F" w:rsidRPr="009442D1" w14:paraId="4CB0B88D" w14:textId="77777777" w:rsidTr="000E2DD1">
        <w:tc>
          <w:tcPr>
            <w:tcW w:w="3038" w:type="dxa"/>
          </w:tcPr>
          <w:p w14:paraId="1D4616CD" w14:textId="22F5A219" w:rsidR="0069130F" w:rsidRPr="009442D1" w:rsidRDefault="0069130F" w:rsidP="0069130F">
            <w:pPr>
              <w:spacing w:before="20" w:after="20"/>
              <w:rPr>
                <w:b/>
                <w:lang w:val="nl-NL"/>
              </w:rPr>
            </w:pPr>
            <w:r w:rsidRPr="009442D1">
              <w:rPr>
                <w:b/>
                <w:lang w:val="nl-NL"/>
              </w:rPr>
              <w:t>Totaal Return</w:t>
            </w:r>
            <w:r w:rsidR="002D5424">
              <w:rPr>
                <w:b/>
                <w:lang w:val="nl-NL"/>
              </w:rPr>
              <w:t xml:space="preserve"> </w:t>
            </w:r>
            <w:r w:rsidRPr="009442D1">
              <w:rPr>
                <w:b/>
                <w:lang w:val="nl-NL"/>
              </w:rPr>
              <w:t>portefeuille</w:t>
            </w:r>
          </w:p>
        </w:tc>
        <w:tc>
          <w:tcPr>
            <w:tcW w:w="3009" w:type="dxa"/>
          </w:tcPr>
          <w:p w14:paraId="29035E11" w14:textId="77777777" w:rsidR="0069130F" w:rsidRDefault="0069130F" w:rsidP="0069130F">
            <w:pPr>
              <w:spacing w:before="20" w:after="20"/>
              <w:jc w:val="center"/>
              <w:rPr>
                <w:lang w:val="nl-NL"/>
              </w:rPr>
            </w:pPr>
            <w:r>
              <w:rPr>
                <w:lang w:val="nl-NL"/>
              </w:rPr>
              <w:t>50</w:t>
            </w:r>
            <w:r w:rsidRPr="009442D1">
              <w:rPr>
                <w:lang w:val="nl-NL"/>
              </w:rPr>
              <w:t>%</w:t>
            </w:r>
          </w:p>
          <w:p w14:paraId="24E57C88" w14:textId="3EFA7265" w:rsidR="00352169" w:rsidRPr="009442D1" w:rsidRDefault="00352169" w:rsidP="0069130F">
            <w:pPr>
              <w:spacing w:before="20" w:after="20"/>
              <w:jc w:val="center"/>
              <w:rPr>
                <w:lang w:val="nl-NL"/>
              </w:rPr>
            </w:pPr>
          </w:p>
        </w:tc>
        <w:tc>
          <w:tcPr>
            <w:tcW w:w="3014" w:type="dxa"/>
          </w:tcPr>
          <w:p w14:paraId="12E740E1" w14:textId="3977285D" w:rsidR="0069130F" w:rsidRPr="009442D1" w:rsidRDefault="0069130F" w:rsidP="0069130F">
            <w:pPr>
              <w:spacing w:before="20" w:after="20"/>
              <w:jc w:val="center"/>
              <w:rPr>
                <w:lang w:val="nl-NL"/>
              </w:rPr>
            </w:pPr>
            <w:r>
              <w:rPr>
                <w:lang w:val="nl-NL"/>
              </w:rPr>
              <w:t>40</w:t>
            </w:r>
            <w:r w:rsidRPr="009442D1">
              <w:rPr>
                <w:lang w:val="nl-NL"/>
              </w:rPr>
              <w:t>%-</w:t>
            </w:r>
            <w:r>
              <w:rPr>
                <w:lang w:val="nl-NL"/>
              </w:rPr>
              <w:t>60</w:t>
            </w:r>
            <w:r w:rsidRPr="009442D1">
              <w:rPr>
                <w:lang w:val="nl-NL"/>
              </w:rPr>
              <w:t>%</w:t>
            </w:r>
          </w:p>
        </w:tc>
      </w:tr>
    </w:tbl>
    <w:p w14:paraId="32A4D7A2" w14:textId="77777777" w:rsidR="00A01686" w:rsidRDefault="00A01686" w:rsidP="00451E81">
      <w:pPr>
        <w:rPr>
          <w:lang w:val="nl-NL"/>
        </w:rPr>
      </w:pPr>
    </w:p>
    <w:p w14:paraId="78F13698" w14:textId="77777777" w:rsidR="009442D1" w:rsidRPr="00A01686" w:rsidRDefault="009442D1" w:rsidP="00451E81">
      <w:pPr>
        <w:rPr>
          <w:lang w:val="nl-NL"/>
        </w:rPr>
      </w:pPr>
    </w:p>
    <w:p w14:paraId="58C84FC4" w14:textId="77777777" w:rsidR="00A01686" w:rsidRPr="00A01686" w:rsidRDefault="00A01686" w:rsidP="00A01686">
      <w:pPr>
        <w:rPr>
          <w:i/>
          <w:lang w:val="nl-NL"/>
        </w:rPr>
      </w:pPr>
      <w:r w:rsidRPr="00A01686">
        <w:rPr>
          <w:i/>
          <w:lang w:val="nl-NL"/>
        </w:rPr>
        <w:t>Aandelen</w:t>
      </w:r>
    </w:p>
    <w:p w14:paraId="17A8F76F" w14:textId="08D7E3BC" w:rsidR="00A01686" w:rsidRDefault="00A01686" w:rsidP="00A01686">
      <w:pPr>
        <w:rPr>
          <w:lang w:val="nl-NL"/>
        </w:rPr>
      </w:pPr>
      <w:r w:rsidRPr="00A01686">
        <w:rPr>
          <w:lang w:val="nl-NL"/>
        </w:rPr>
        <w:t>Aandelen worden regionaal gealloceerd</w:t>
      </w:r>
      <w:r w:rsidR="003D0A2C">
        <w:rPr>
          <w:lang w:val="nl-NL"/>
        </w:rPr>
        <w:t>:</w:t>
      </w:r>
    </w:p>
    <w:p w14:paraId="3D1B85BF" w14:textId="77777777" w:rsidR="003D0A2C" w:rsidRDefault="003D0A2C" w:rsidP="00A01686">
      <w:pPr>
        <w:rPr>
          <w:lang w:val="nl-NL"/>
        </w:rPr>
      </w:pPr>
    </w:p>
    <w:tbl>
      <w:tblPr>
        <w:tblStyle w:val="Tabelraster"/>
        <w:tblW w:w="0" w:type="auto"/>
        <w:tblBorders>
          <w:top w:val="single" w:sz="4" w:space="0" w:color="00AFD2" w:themeColor="accent1"/>
          <w:left w:val="single" w:sz="4" w:space="0" w:color="00AFD2" w:themeColor="accent1"/>
          <w:bottom w:val="single" w:sz="4" w:space="0" w:color="00AFD2" w:themeColor="accent1"/>
          <w:right w:val="single" w:sz="4" w:space="0" w:color="00AFD2" w:themeColor="accent1"/>
          <w:insideH w:val="single" w:sz="4" w:space="0" w:color="00AFD2" w:themeColor="accent1"/>
          <w:insideV w:val="single" w:sz="4" w:space="0" w:color="00AFD2" w:themeColor="accent1"/>
        </w:tblBorders>
        <w:tblLook w:val="04A0" w:firstRow="1" w:lastRow="0" w:firstColumn="1" w:lastColumn="0" w:noHBand="0" w:noVBand="1"/>
      </w:tblPr>
      <w:tblGrid>
        <w:gridCol w:w="2511"/>
        <w:gridCol w:w="2374"/>
        <w:gridCol w:w="2237"/>
        <w:gridCol w:w="1939"/>
      </w:tblGrid>
      <w:tr w:rsidR="00C423BD" w:rsidRPr="00A01686" w14:paraId="79FF8DA6" w14:textId="77777777" w:rsidTr="004D1406">
        <w:tc>
          <w:tcPr>
            <w:tcW w:w="2543" w:type="dxa"/>
            <w:shd w:val="clear" w:color="auto" w:fill="00AFD2" w:themeFill="accent1"/>
          </w:tcPr>
          <w:p w14:paraId="0F3AFDB6" w14:textId="4B25B9D1" w:rsidR="00C423BD" w:rsidRPr="00A01686" w:rsidRDefault="00C423BD">
            <w:pPr>
              <w:spacing w:before="20" w:after="20"/>
              <w:rPr>
                <w:b/>
                <w:color w:val="FFFFFF" w:themeColor="background1"/>
                <w:lang w:val="nl-NL"/>
              </w:rPr>
            </w:pPr>
            <w:r w:rsidRPr="00A01686">
              <w:rPr>
                <w:b/>
                <w:color w:val="FFFFFF" w:themeColor="background1"/>
                <w:lang w:val="nl-NL"/>
              </w:rPr>
              <w:t>Re</w:t>
            </w:r>
            <w:r>
              <w:rPr>
                <w:b/>
                <w:color w:val="FFFFFF" w:themeColor="background1"/>
                <w:lang w:val="nl-NL"/>
              </w:rPr>
              <w:t>gioverdeling aandelen</w:t>
            </w:r>
          </w:p>
        </w:tc>
        <w:tc>
          <w:tcPr>
            <w:tcW w:w="2414" w:type="dxa"/>
            <w:shd w:val="clear" w:color="auto" w:fill="00AFD2" w:themeFill="accent1"/>
          </w:tcPr>
          <w:p w14:paraId="6523DD7F" w14:textId="319DFD6B" w:rsidR="00C423BD" w:rsidRPr="00A01686" w:rsidRDefault="00C423BD">
            <w:pPr>
              <w:spacing w:before="20" w:after="20"/>
              <w:jc w:val="center"/>
              <w:rPr>
                <w:b/>
                <w:color w:val="FFFFFF" w:themeColor="background1"/>
                <w:lang w:val="nl-NL"/>
              </w:rPr>
            </w:pPr>
            <w:r w:rsidRPr="00A01686">
              <w:rPr>
                <w:b/>
                <w:color w:val="FFFFFF" w:themeColor="background1"/>
                <w:lang w:val="nl-NL"/>
              </w:rPr>
              <w:t xml:space="preserve">Doelweging </w:t>
            </w:r>
          </w:p>
        </w:tc>
        <w:tc>
          <w:tcPr>
            <w:tcW w:w="2268" w:type="dxa"/>
            <w:shd w:val="clear" w:color="auto" w:fill="00AFD2" w:themeFill="accent1"/>
          </w:tcPr>
          <w:p w14:paraId="28FEFE09" w14:textId="45CBEBAE" w:rsidR="00C423BD" w:rsidRPr="00A01686" w:rsidRDefault="00C423BD">
            <w:pPr>
              <w:spacing w:before="20" w:after="20"/>
              <w:jc w:val="center"/>
              <w:rPr>
                <w:b/>
                <w:color w:val="FFFFFF" w:themeColor="background1"/>
                <w:lang w:val="nl-NL"/>
              </w:rPr>
            </w:pPr>
            <w:r>
              <w:rPr>
                <w:b/>
                <w:color w:val="FFFFFF" w:themeColor="background1"/>
                <w:lang w:val="nl-NL"/>
              </w:rPr>
              <w:t>Bandbreedte</w:t>
            </w:r>
          </w:p>
        </w:tc>
        <w:tc>
          <w:tcPr>
            <w:tcW w:w="1836" w:type="dxa"/>
            <w:shd w:val="clear" w:color="auto" w:fill="00AFD2" w:themeFill="accent1"/>
          </w:tcPr>
          <w:p w14:paraId="2BF53BB0" w14:textId="200C9D39" w:rsidR="00C423BD" w:rsidRPr="00A01686" w:rsidRDefault="00E7025F">
            <w:pPr>
              <w:spacing w:before="20" w:after="20"/>
              <w:jc w:val="center"/>
              <w:rPr>
                <w:b/>
                <w:color w:val="FFFFFF" w:themeColor="background1"/>
                <w:lang w:val="nl-NL"/>
              </w:rPr>
            </w:pPr>
            <w:r>
              <w:rPr>
                <w:b/>
                <w:color w:val="FFFFFF" w:themeColor="background1"/>
                <w:lang w:val="nl-NL"/>
              </w:rPr>
              <w:t xml:space="preserve">Portefeuilleniveau </w:t>
            </w:r>
            <w:r w:rsidR="008E4294">
              <w:rPr>
                <w:b/>
                <w:color w:val="FFFFFF" w:themeColor="background1"/>
                <w:lang w:val="nl-NL"/>
              </w:rPr>
              <w:t xml:space="preserve"> 2026</w:t>
            </w:r>
          </w:p>
        </w:tc>
      </w:tr>
      <w:tr w:rsidR="00C423BD" w:rsidRPr="009442D1" w14:paraId="5BE49E96" w14:textId="77777777" w:rsidTr="004D1406">
        <w:tc>
          <w:tcPr>
            <w:tcW w:w="2543" w:type="dxa"/>
          </w:tcPr>
          <w:p w14:paraId="5BEA1AC8" w14:textId="53C74250" w:rsidR="00C423BD" w:rsidRPr="009442D1" w:rsidRDefault="00A97448">
            <w:pPr>
              <w:spacing w:before="20" w:after="20"/>
              <w:rPr>
                <w:b/>
                <w:lang w:val="nl-NL"/>
              </w:rPr>
            </w:pPr>
            <w:r>
              <w:rPr>
                <w:b/>
                <w:lang w:val="nl-NL"/>
              </w:rPr>
              <w:t>Europa Large Cap</w:t>
            </w:r>
          </w:p>
        </w:tc>
        <w:tc>
          <w:tcPr>
            <w:tcW w:w="2414" w:type="dxa"/>
          </w:tcPr>
          <w:p w14:paraId="3F123FB3" w14:textId="0FF986F7" w:rsidR="00C423BD" w:rsidRPr="009442D1" w:rsidRDefault="00490C50">
            <w:pPr>
              <w:spacing w:before="20" w:after="20"/>
              <w:jc w:val="center"/>
              <w:rPr>
                <w:lang w:val="nl-NL"/>
              </w:rPr>
            </w:pPr>
            <w:r>
              <w:rPr>
                <w:lang w:val="nl-NL"/>
              </w:rPr>
              <w:t>Benchmark – Pacific OW</w:t>
            </w:r>
          </w:p>
        </w:tc>
        <w:tc>
          <w:tcPr>
            <w:tcW w:w="2268" w:type="dxa"/>
          </w:tcPr>
          <w:p w14:paraId="449511E9" w14:textId="172A5D3B" w:rsidR="00C423BD" w:rsidRDefault="004D1406">
            <w:pPr>
              <w:spacing w:before="20" w:after="20"/>
              <w:jc w:val="center"/>
              <w:rPr>
                <w:lang w:val="nl-NL"/>
              </w:rPr>
            </w:pPr>
            <w:r>
              <w:rPr>
                <w:lang w:val="nl-NL"/>
              </w:rPr>
              <w:t>Benchmark +/- 10%</w:t>
            </w:r>
          </w:p>
        </w:tc>
        <w:tc>
          <w:tcPr>
            <w:tcW w:w="1836" w:type="dxa"/>
          </w:tcPr>
          <w:p w14:paraId="3A229616" w14:textId="150FAE0B" w:rsidR="00C423BD" w:rsidRPr="009442D1" w:rsidRDefault="004D1406">
            <w:pPr>
              <w:spacing w:before="20" w:after="20"/>
              <w:jc w:val="center"/>
              <w:rPr>
                <w:lang w:val="nl-NL"/>
              </w:rPr>
            </w:pPr>
            <w:r>
              <w:rPr>
                <w:lang w:val="nl-NL"/>
              </w:rPr>
              <w:t>3,</w:t>
            </w:r>
            <w:r w:rsidR="008E4294">
              <w:rPr>
                <w:lang w:val="nl-NL"/>
              </w:rPr>
              <w:t>5</w:t>
            </w:r>
            <w:r w:rsidR="006F3074">
              <w:rPr>
                <w:lang w:val="nl-NL"/>
              </w:rPr>
              <w:t>%</w:t>
            </w:r>
          </w:p>
        </w:tc>
      </w:tr>
      <w:tr w:rsidR="00C423BD" w:rsidRPr="009442D1" w14:paraId="3110BEA2" w14:textId="77777777" w:rsidTr="004D1406">
        <w:tc>
          <w:tcPr>
            <w:tcW w:w="2543" w:type="dxa"/>
          </w:tcPr>
          <w:p w14:paraId="6CA4BD1A" w14:textId="60DDF0C2" w:rsidR="00C423BD" w:rsidRPr="009442D1" w:rsidRDefault="00A97448">
            <w:pPr>
              <w:spacing w:before="20" w:after="20"/>
              <w:rPr>
                <w:b/>
                <w:lang w:val="nl-NL"/>
              </w:rPr>
            </w:pPr>
            <w:r>
              <w:rPr>
                <w:b/>
                <w:lang w:val="nl-NL"/>
              </w:rPr>
              <w:t>Noord-Amerika Large Cap</w:t>
            </w:r>
          </w:p>
        </w:tc>
        <w:tc>
          <w:tcPr>
            <w:tcW w:w="2414" w:type="dxa"/>
          </w:tcPr>
          <w:p w14:paraId="06F77BC5" w14:textId="648AD24D" w:rsidR="00C423BD" w:rsidRPr="009442D1" w:rsidRDefault="007E1B8B">
            <w:pPr>
              <w:spacing w:before="20" w:after="20"/>
              <w:jc w:val="center"/>
              <w:rPr>
                <w:lang w:val="nl-NL"/>
              </w:rPr>
            </w:pPr>
            <w:r>
              <w:rPr>
                <w:lang w:val="nl-NL"/>
              </w:rPr>
              <w:t>Benchmark – Pacific OW</w:t>
            </w:r>
          </w:p>
        </w:tc>
        <w:tc>
          <w:tcPr>
            <w:tcW w:w="2268" w:type="dxa"/>
          </w:tcPr>
          <w:p w14:paraId="5F4630F5" w14:textId="50F1FAF0" w:rsidR="00C423BD" w:rsidRDefault="004D1406">
            <w:pPr>
              <w:spacing w:before="20" w:after="20"/>
              <w:jc w:val="center"/>
              <w:rPr>
                <w:lang w:val="nl-NL"/>
              </w:rPr>
            </w:pPr>
            <w:r>
              <w:rPr>
                <w:lang w:val="nl-NL"/>
              </w:rPr>
              <w:t>Benchmark +/- 10%</w:t>
            </w:r>
          </w:p>
        </w:tc>
        <w:tc>
          <w:tcPr>
            <w:tcW w:w="1836" w:type="dxa"/>
          </w:tcPr>
          <w:p w14:paraId="5F53E8A4" w14:textId="7E7F1011" w:rsidR="00C423BD" w:rsidRPr="009442D1" w:rsidRDefault="006F3074">
            <w:pPr>
              <w:spacing w:before="20" w:after="20"/>
              <w:jc w:val="center"/>
              <w:rPr>
                <w:lang w:val="nl-NL"/>
              </w:rPr>
            </w:pPr>
            <w:r>
              <w:rPr>
                <w:lang w:val="nl-NL"/>
              </w:rPr>
              <w:t>1</w:t>
            </w:r>
            <w:r w:rsidR="0040667D">
              <w:rPr>
                <w:lang w:val="nl-NL"/>
              </w:rPr>
              <w:t>4</w:t>
            </w:r>
            <w:r>
              <w:rPr>
                <w:lang w:val="nl-NL"/>
              </w:rPr>
              <w:t>,</w:t>
            </w:r>
            <w:r w:rsidR="008E4294">
              <w:rPr>
                <w:lang w:val="nl-NL"/>
              </w:rPr>
              <w:t>4</w:t>
            </w:r>
            <w:r>
              <w:rPr>
                <w:lang w:val="nl-NL"/>
              </w:rPr>
              <w:t>%</w:t>
            </w:r>
          </w:p>
        </w:tc>
      </w:tr>
      <w:tr w:rsidR="00C423BD" w:rsidRPr="009442D1" w14:paraId="021DF272" w14:textId="77777777" w:rsidTr="004D1406">
        <w:tc>
          <w:tcPr>
            <w:tcW w:w="2543" w:type="dxa"/>
          </w:tcPr>
          <w:p w14:paraId="6A6E2BA2" w14:textId="5D12AC36" w:rsidR="00C423BD" w:rsidRPr="009442D1" w:rsidRDefault="00A97448">
            <w:pPr>
              <w:spacing w:before="20" w:after="20"/>
              <w:rPr>
                <w:b/>
                <w:lang w:val="nl-NL"/>
              </w:rPr>
            </w:pPr>
            <w:r>
              <w:rPr>
                <w:b/>
                <w:lang w:val="nl-NL"/>
              </w:rPr>
              <w:t>Pacific Large Cap</w:t>
            </w:r>
          </w:p>
        </w:tc>
        <w:tc>
          <w:tcPr>
            <w:tcW w:w="2414" w:type="dxa"/>
          </w:tcPr>
          <w:p w14:paraId="1F8CDD70" w14:textId="47EB2EB1" w:rsidR="00C423BD" w:rsidRDefault="007E1B8B">
            <w:pPr>
              <w:spacing w:before="20" w:after="20"/>
              <w:jc w:val="center"/>
              <w:rPr>
                <w:lang w:val="nl-NL"/>
              </w:rPr>
            </w:pPr>
            <w:r>
              <w:rPr>
                <w:lang w:val="nl-NL"/>
              </w:rPr>
              <w:t>Benchmark + 3,5%</w:t>
            </w:r>
          </w:p>
        </w:tc>
        <w:tc>
          <w:tcPr>
            <w:tcW w:w="2268" w:type="dxa"/>
          </w:tcPr>
          <w:p w14:paraId="7B4BC57E" w14:textId="6E34AE57" w:rsidR="00C423BD" w:rsidRDefault="004D1406">
            <w:pPr>
              <w:spacing w:before="20" w:after="20"/>
              <w:jc w:val="center"/>
              <w:rPr>
                <w:lang w:val="nl-NL"/>
              </w:rPr>
            </w:pPr>
            <w:r>
              <w:rPr>
                <w:lang w:val="nl-NL"/>
              </w:rPr>
              <w:t>Benchmark +/- 10%</w:t>
            </w:r>
          </w:p>
        </w:tc>
        <w:tc>
          <w:tcPr>
            <w:tcW w:w="1836" w:type="dxa"/>
          </w:tcPr>
          <w:p w14:paraId="7A17E7A1" w14:textId="6B9855DB" w:rsidR="00C423BD" w:rsidRDefault="006F3074">
            <w:pPr>
              <w:spacing w:before="20" w:after="20"/>
              <w:jc w:val="center"/>
              <w:rPr>
                <w:lang w:val="nl-NL"/>
              </w:rPr>
            </w:pPr>
            <w:r>
              <w:rPr>
                <w:lang w:val="nl-NL"/>
              </w:rPr>
              <w:t>2,</w:t>
            </w:r>
            <w:r w:rsidR="008E4294">
              <w:rPr>
                <w:lang w:val="nl-NL"/>
              </w:rPr>
              <w:t>6</w:t>
            </w:r>
            <w:r>
              <w:rPr>
                <w:lang w:val="nl-NL"/>
              </w:rPr>
              <w:t>%</w:t>
            </w:r>
          </w:p>
        </w:tc>
      </w:tr>
      <w:tr w:rsidR="00C423BD" w:rsidRPr="009442D1" w14:paraId="44255B92" w14:textId="77777777" w:rsidTr="006C6F02">
        <w:tc>
          <w:tcPr>
            <w:tcW w:w="2543" w:type="dxa"/>
            <w:shd w:val="clear" w:color="auto" w:fill="C3F4FF" w:themeFill="accent1" w:themeFillTint="33"/>
          </w:tcPr>
          <w:p w14:paraId="51EAA2B4" w14:textId="22C7DA76" w:rsidR="00C423BD" w:rsidRPr="009442D1" w:rsidRDefault="005A2F5E">
            <w:pPr>
              <w:spacing w:before="20" w:after="20"/>
              <w:rPr>
                <w:b/>
                <w:lang w:val="nl-NL"/>
              </w:rPr>
            </w:pPr>
            <w:r>
              <w:rPr>
                <w:b/>
                <w:lang w:val="nl-NL"/>
              </w:rPr>
              <w:t xml:space="preserve">Totaal Large </w:t>
            </w:r>
            <w:r w:rsidR="007147B6">
              <w:rPr>
                <w:b/>
                <w:lang w:val="nl-NL"/>
              </w:rPr>
              <w:t>Cap</w:t>
            </w:r>
          </w:p>
        </w:tc>
        <w:tc>
          <w:tcPr>
            <w:tcW w:w="2414" w:type="dxa"/>
            <w:shd w:val="clear" w:color="auto" w:fill="C3F4FF" w:themeFill="accent1" w:themeFillTint="33"/>
          </w:tcPr>
          <w:p w14:paraId="4DE01482" w14:textId="104EDE04" w:rsidR="00C423BD" w:rsidRDefault="007E1B8B">
            <w:pPr>
              <w:spacing w:before="20" w:after="20"/>
              <w:jc w:val="center"/>
              <w:rPr>
                <w:lang w:val="nl-NL"/>
              </w:rPr>
            </w:pPr>
            <w:r>
              <w:rPr>
                <w:lang w:val="nl-NL"/>
              </w:rPr>
              <w:t>100,0%</w:t>
            </w:r>
          </w:p>
        </w:tc>
        <w:tc>
          <w:tcPr>
            <w:tcW w:w="2268" w:type="dxa"/>
            <w:shd w:val="clear" w:color="auto" w:fill="C3F4FF" w:themeFill="accent1" w:themeFillTint="33"/>
          </w:tcPr>
          <w:p w14:paraId="5C553B03" w14:textId="77777777" w:rsidR="00C423BD" w:rsidRDefault="00C423BD">
            <w:pPr>
              <w:spacing w:before="20" w:after="20"/>
              <w:jc w:val="center"/>
              <w:rPr>
                <w:lang w:val="nl-NL"/>
              </w:rPr>
            </w:pPr>
          </w:p>
        </w:tc>
        <w:tc>
          <w:tcPr>
            <w:tcW w:w="1836" w:type="dxa"/>
            <w:shd w:val="clear" w:color="auto" w:fill="C3F4FF" w:themeFill="accent1" w:themeFillTint="33"/>
          </w:tcPr>
          <w:p w14:paraId="287FA68E" w14:textId="3B303264" w:rsidR="00C423BD" w:rsidRDefault="00C423BD">
            <w:pPr>
              <w:spacing w:before="20" w:after="20"/>
              <w:jc w:val="center"/>
              <w:rPr>
                <w:lang w:val="nl-NL"/>
              </w:rPr>
            </w:pPr>
          </w:p>
        </w:tc>
      </w:tr>
      <w:tr w:rsidR="00C423BD" w:rsidRPr="009442D1" w14:paraId="6912E6DB" w14:textId="77777777" w:rsidTr="004D1406">
        <w:tc>
          <w:tcPr>
            <w:tcW w:w="2543" w:type="dxa"/>
          </w:tcPr>
          <w:p w14:paraId="6836BC8A" w14:textId="0E6A8983" w:rsidR="00C423BD" w:rsidRPr="009442D1" w:rsidRDefault="007147B6">
            <w:pPr>
              <w:spacing w:before="20" w:after="20"/>
              <w:rPr>
                <w:b/>
                <w:lang w:val="nl-NL"/>
              </w:rPr>
            </w:pPr>
            <w:r>
              <w:rPr>
                <w:b/>
                <w:lang w:val="nl-NL"/>
              </w:rPr>
              <w:t>Eu</w:t>
            </w:r>
            <w:r w:rsidR="00994BA3">
              <w:rPr>
                <w:b/>
                <w:lang w:val="nl-NL"/>
              </w:rPr>
              <w:t xml:space="preserve">ropa </w:t>
            </w:r>
            <w:r w:rsidR="009A5844">
              <w:rPr>
                <w:b/>
                <w:lang w:val="nl-NL"/>
              </w:rPr>
              <w:t xml:space="preserve">Small </w:t>
            </w:r>
            <w:r w:rsidR="00994BA3">
              <w:rPr>
                <w:b/>
                <w:lang w:val="nl-NL"/>
              </w:rPr>
              <w:t>Cap</w:t>
            </w:r>
          </w:p>
        </w:tc>
        <w:tc>
          <w:tcPr>
            <w:tcW w:w="2414" w:type="dxa"/>
          </w:tcPr>
          <w:p w14:paraId="72CD8AFE" w14:textId="47410680" w:rsidR="00C423BD" w:rsidRPr="009442D1" w:rsidRDefault="00D41067">
            <w:pPr>
              <w:spacing w:before="20" w:after="20"/>
              <w:jc w:val="center"/>
              <w:rPr>
                <w:lang w:val="nl-NL"/>
              </w:rPr>
            </w:pPr>
            <w:r>
              <w:rPr>
                <w:lang w:val="nl-NL"/>
              </w:rPr>
              <w:t>60,0%</w:t>
            </w:r>
          </w:p>
        </w:tc>
        <w:tc>
          <w:tcPr>
            <w:tcW w:w="2268" w:type="dxa"/>
          </w:tcPr>
          <w:p w14:paraId="5174CE58" w14:textId="77777777" w:rsidR="00C423BD" w:rsidRDefault="00C423BD">
            <w:pPr>
              <w:spacing w:before="20" w:after="20"/>
              <w:jc w:val="center"/>
              <w:rPr>
                <w:lang w:val="nl-NL"/>
              </w:rPr>
            </w:pPr>
          </w:p>
        </w:tc>
        <w:tc>
          <w:tcPr>
            <w:tcW w:w="1836" w:type="dxa"/>
          </w:tcPr>
          <w:p w14:paraId="525A30E7" w14:textId="7A541BA4" w:rsidR="00C423BD" w:rsidRPr="009442D1" w:rsidRDefault="006F3074">
            <w:pPr>
              <w:spacing w:before="20" w:after="20"/>
              <w:jc w:val="center"/>
              <w:rPr>
                <w:lang w:val="nl-NL"/>
              </w:rPr>
            </w:pPr>
            <w:r>
              <w:rPr>
                <w:lang w:val="nl-NL"/>
              </w:rPr>
              <w:t>3,0%</w:t>
            </w:r>
          </w:p>
        </w:tc>
      </w:tr>
      <w:tr w:rsidR="00994BA3" w:rsidRPr="009442D1" w14:paraId="7807560A" w14:textId="77777777" w:rsidTr="004D1406">
        <w:tc>
          <w:tcPr>
            <w:tcW w:w="2543" w:type="dxa"/>
          </w:tcPr>
          <w:p w14:paraId="7BB9C78B" w14:textId="3A61B95D" w:rsidR="00994BA3" w:rsidRDefault="009A5844">
            <w:pPr>
              <w:spacing w:before="20" w:after="20"/>
              <w:rPr>
                <w:b/>
                <w:lang w:val="nl-NL"/>
              </w:rPr>
            </w:pPr>
            <w:r>
              <w:rPr>
                <w:b/>
                <w:lang w:val="nl-NL"/>
              </w:rPr>
              <w:t>Japan Small Cap</w:t>
            </w:r>
          </w:p>
        </w:tc>
        <w:tc>
          <w:tcPr>
            <w:tcW w:w="2414" w:type="dxa"/>
          </w:tcPr>
          <w:p w14:paraId="212913F0" w14:textId="608326DD" w:rsidR="00994BA3" w:rsidRPr="009442D1" w:rsidRDefault="00D41067">
            <w:pPr>
              <w:spacing w:before="20" w:after="20"/>
              <w:jc w:val="center"/>
              <w:rPr>
                <w:lang w:val="nl-NL"/>
              </w:rPr>
            </w:pPr>
            <w:r>
              <w:rPr>
                <w:lang w:val="nl-NL"/>
              </w:rPr>
              <w:t>40,0%</w:t>
            </w:r>
          </w:p>
        </w:tc>
        <w:tc>
          <w:tcPr>
            <w:tcW w:w="2268" w:type="dxa"/>
          </w:tcPr>
          <w:p w14:paraId="3FEE9C27" w14:textId="77777777" w:rsidR="00994BA3" w:rsidRDefault="00994BA3">
            <w:pPr>
              <w:spacing w:before="20" w:after="20"/>
              <w:jc w:val="center"/>
              <w:rPr>
                <w:lang w:val="nl-NL"/>
              </w:rPr>
            </w:pPr>
          </w:p>
        </w:tc>
        <w:tc>
          <w:tcPr>
            <w:tcW w:w="1836" w:type="dxa"/>
          </w:tcPr>
          <w:p w14:paraId="3FE96653" w14:textId="1BD6E3D0" w:rsidR="00994BA3" w:rsidRPr="009442D1" w:rsidRDefault="006F3074">
            <w:pPr>
              <w:spacing w:before="20" w:after="20"/>
              <w:jc w:val="center"/>
              <w:rPr>
                <w:lang w:val="nl-NL"/>
              </w:rPr>
            </w:pPr>
            <w:r>
              <w:rPr>
                <w:lang w:val="nl-NL"/>
              </w:rPr>
              <w:t>2,0%</w:t>
            </w:r>
          </w:p>
        </w:tc>
      </w:tr>
      <w:tr w:rsidR="009A5844" w:rsidRPr="009442D1" w14:paraId="773C7E42" w14:textId="77777777" w:rsidTr="004D1406">
        <w:tc>
          <w:tcPr>
            <w:tcW w:w="2543" w:type="dxa"/>
          </w:tcPr>
          <w:p w14:paraId="7B2899F9" w14:textId="766F9448" w:rsidR="009A5844" w:rsidRDefault="009A5844">
            <w:pPr>
              <w:spacing w:before="20" w:after="20"/>
              <w:rPr>
                <w:b/>
                <w:lang w:val="nl-NL"/>
              </w:rPr>
            </w:pPr>
            <w:r>
              <w:rPr>
                <w:b/>
                <w:lang w:val="nl-NL"/>
              </w:rPr>
              <w:t>Totaal Small Cap</w:t>
            </w:r>
          </w:p>
        </w:tc>
        <w:tc>
          <w:tcPr>
            <w:tcW w:w="2414" w:type="dxa"/>
          </w:tcPr>
          <w:p w14:paraId="5FA7DF24" w14:textId="74DCE5C2" w:rsidR="009A5844" w:rsidRPr="009442D1" w:rsidRDefault="00D41067">
            <w:pPr>
              <w:spacing w:before="20" w:after="20"/>
              <w:jc w:val="center"/>
              <w:rPr>
                <w:lang w:val="nl-NL"/>
              </w:rPr>
            </w:pPr>
            <w:r>
              <w:rPr>
                <w:lang w:val="nl-NL"/>
              </w:rPr>
              <w:t>100,0%</w:t>
            </w:r>
          </w:p>
        </w:tc>
        <w:tc>
          <w:tcPr>
            <w:tcW w:w="2268" w:type="dxa"/>
          </w:tcPr>
          <w:p w14:paraId="46284151" w14:textId="77777777" w:rsidR="009A5844" w:rsidRDefault="009A5844">
            <w:pPr>
              <w:spacing w:before="20" w:after="20"/>
              <w:jc w:val="center"/>
              <w:rPr>
                <w:lang w:val="nl-NL"/>
              </w:rPr>
            </w:pPr>
          </w:p>
        </w:tc>
        <w:tc>
          <w:tcPr>
            <w:tcW w:w="1836" w:type="dxa"/>
          </w:tcPr>
          <w:p w14:paraId="115EA715" w14:textId="77777777" w:rsidR="009A5844" w:rsidRPr="009442D1" w:rsidRDefault="009A5844">
            <w:pPr>
              <w:spacing w:before="20" w:after="20"/>
              <w:jc w:val="center"/>
              <w:rPr>
                <w:lang w:val="nl-NL"/>
              </w:rPr>
            </w:pPr>
          </w:p>
        </w:tc>
      </w:tr>
      <w:tr w:rsidR="009A5844" w:rsidRPr="009442D1" w14:paraId="2C8B90C7" w14:textId="77777777" w:rsidTr="006C6F02">
        <w:tc>
          <w:tcPr>
            <w:tcW w:w="2543" w:type="dxa"/>
            <w:shd w:val="clear" w:color="auto" w:fill="C3F4FF" w:themeFill="accent1" w:themeFillTint="33"/>
          </w:tcPr>
          <w:p w14:paraId="4797B34C" w14:textId="719F0A78" w:rsidR="009A5844" w:rsidRDefault="009A5844">
            <w:pPr>
              <w:spacing w:before="20" w:after="20"/>
              <w:rPr>
                <w:b/>
                <w:lang w:val="nl-NL"/>
              </w:rPr>
            </w:pPr>
            <w:r>
              <w:rPr>
                <w:b/>
                <w:lang w:val="nl-NL"/>
              </w:rPr>
              <w:t>Opkomende markten</w:t>
            </w:r>
          </w:p>
        </w:tc>
        <w:tc>
          <w:tcPr>
            <w:tcW w:w="2414" w:type="dxa"/>
            <w:shd w:val="clear" w:color="auto" w:fill="C3F4FF" w:themeFill="accent1" w:themeFillTint="33"/>
          </w:tcPr>
          <w:p w14:paraId="21C652D6" w14:textId="3D872036" w:rsidR="009A5844" w:rsidRPr="009442D1" w:rsidRDefault="00D41067">
            <w:pPr>
              <w:spacing w:before="20" w:after="20"/>
              <w:jc w:val="center"/>
              <w:rPr>
                <w:lang w:val="nl-NL"/>
              </w:rPr>
            </w:pPr>
            <w:r>
              <w:rPr>
                <w:lang w:val="nl-NL"/>
              </w:rPr>
              <w:t>100,0%</w:t>
            </w:r>
          </w:p>
        </w:tc>
        <w:tc>
          <w:tcPr>
            <w:tcW w:w="2268" w:type="dxa"/>
            <w:shd w:val="clear" w:color="auto" w:fill="C3F4FF" w:themeFill="accent1" w:themeFillTint="33"/>
          </w:tcPr>
          <w:p w14:paraId="5064A89E" w14:textId="761121AF" w:rsidR="009A5844" w:rsidRDefault="004D1406">
            <w:pPr>
              <w:spacing w:before="20" w:after="20"/>
              <w:jc w:val="center"/>
              <w:rPr>
                <w:lang w:val="nl-NL"/>
              </w:rPr>
            </w:pPr>
            <w:r>
              <w:rPr>
                <w:lang w:val="nl-NL"/>
              </w:rPr>
              <w:t>Benchmark +/- 10%</w:t>
            </w:r>
          </w:p>
        </w:tc>
        <w:tc>
          <w:tcPr>
            <w:tcW w:w="1836" w:type="dxa"/>
            <w:shd w:val="clear" w:color="auto" w:fill="C3F4FF" w:themeFill="accent1" w:themeFillTint="33"/>
          </w:tcPr>
          <w:p w14:paraId="40A59D2D" w14:textId="040FD978" w:rsidR="009A5844" w:rsidRPr="009442D1" w:rsidRDefault="006F3074">
            <w:pPr>
              <w:spacing w:before="20" w:after="20"/>
              <w:jc w:val="center"/>
              <w:rPr>
                <w:lang w:val="nl-NL"/>
              </w:rPr>
            </w:pPr>
            <w:r>
              <w:rPr>
                <w:lang w:val="nl-NL"/>
              </w:rPr>
              <w:t>4,5%</w:t>
            </w:r>
          </w:p>
        </w:tc>
      </w:tr>
      <w:tr w:rsidR="009A5844" w:rsidRPr="009442D1" w14:paraId="29D87B89" w14:textId="77777777" w:rsidTr="004D1406">
        <w:tc>
          <w:tcPr>
            <w:tcW w:w="2543" w:type="dxa"/>
          </w:tcPr>
          <w:p w14:paraId="6E4B9A35" w14:textId="6C2D1696" w:rsidR="009A5844" w:rsidRDefault="00C05FC6">
            <w:pPr>
              <w:spacing w:before="20" w:after="20"/>
              <w:rPr>
                <w:b/>
                <w:lang w:val="nl-NL"/>
              </w:rPr>
            </w:pPr>
            <w:r>
              <w:rPr>
                <w:b/>
                <w:lang w:val="nl-NL"/>
              </w:rPr>
              <w:t>Totaal</w:t>
            </w:r>
          </w:p>
        </w:tc>
        <w:tc>
          <w:tcPr>
            <w:tcW w:w="2414" w:type="dxa"/>
          </w:tcPr>
          <w:p w14:paraId="6567E241" w14:textId="2CB44F66" w:rsidR="009A5844" w:rsidRPr="009442D1" w:rsidRDefault="00D41067">
            <w:pPr>
              <w:spacing w:before="20" w:after="20"/>
              <w:jc w:val="center"/>
              <w:rPr>
                <w:lang w:val="nl-NL"/>
              </w:rPr>
            </w:pPr>
            <w:r>
              <w:rPr>
                <w:lang w:val="nl-NL"/>
              </w:rPr>
              <w:t>100,0%</w:t>
            </w:r>
          </w:p>
        </w:tc>
        <w:tc>
          <w:tcPr>
            <w:tcW w:w="2268" w:type="dxa"/>
          </w:tcPr>
          <w:p w14:paraId="5D5FD352" w14:textId="77777777" w:rsidR="009A5844" w:rsidRDefault="009A5844">
            <w:pPr>
              <w:spacing w:before="20" w:after="20"/>
              <w:jc w:val="center"/>
              <w:rPr>
                <w:lang w:val="nl-NL"/>
              </w:rPr>
            </w:pPr>
          </w:p>
        </w:tc>
        <w:tc>
          <w:tcPr>
            <w:tcW w:w="1836" w:type="dxa"/>
          </w:tcPr>
          <w:p w14:paraId="403AC65C" w14:textId="32541AAC" w:rsidR="009A5844" w:rsidRPr="009442D1" w:rsidRDefault="006F3074">
            <w:pPr>
              <w:spacing w:before="20" w:after="20"/>
              <w:jc w:val="center"/>
              <w:rPr>
                <w:lang w:val="nl-NL"/>
              </w:rPr>
            </w:pPr>
            <w:r>
              <w:rPr>
                <w:lang w:val="nl-NL"/>
              </w:rPr>
              <w:t>30,0%</w:t>
            </w:r>
          </w:p>
        </w:tc>
      </w:tr>
    </w:tbl>
    <w:p w14:paraId="0CAE2E79" w14:textId="7267D985" w:rsidR="009442D1" w:rsidRPr="00A01686" w:rsidRDefault="009442D1" w:rsidP="00451E81">
      <w:pPr>
        <w:rPr>
          <w:lang w:val="nl-NL"/>
        </w:rPr>
      </w:pPr>
    </w:p>
    <w:p w14:paraId="539C7B28" w14:textId="77777777" w:rsidR="00F67672" w:rsidRDefault="00F67672" w:rsidP="009442D1">
      <w:pPr>
        <w:rPr>
          <w:i/>
          <w:lang w:val="nl-NL"/>
        </w:rPr>
      </w:pPr>
    </w:p>
    <w:p w14:paraId="11397DCD" w14:textId="4CA0E5CB" w:rsidR="009442D1" w:rsidRPr="009442D1" w:rsidRDefault="009442D1" w:rsidP="009442D1">
      <w:pPr>
        <w:rPr>
          <w:i/>
          <w:lang w:val="nl-NL"/>
        </w:rPr>
      </w:pPr>
      <w:r w:rsidRPr="009442D1">
        <w:rPr>
          <w:i/>
          <w:lang w:val="nl-NL"/>
        </w:rPr>
        <w:t>Vastgoed</w:t>
      </w:r>
    </w:p>
    <w:p w14:paraId="659BCA88" w14:textId="4E3B0127" w:rsidR="009442D1" w:rsidRPr="009442D1" w:rsidRDefault="00284B6B" w:rsidP="009442D1">
      <w:pPr>
        <w:rPr>
          <w:lang w:val="nl-NL"/>
        </w:rPr>
      </w:pPr>
      <w:bookmarkStart w:id="54" w:name="_Hlk87887361"/>
      <w:r>
        <w:rPr>
          <w:lang w:val="nl-NL"/>
        </w:rPr>
        <w:t xml:space="preserve">De </w:t>
      </w:r>
      <w:r w:rsidR="00C778AC">
        <w:rPr>
          <w:lang w:val="nl-NL"/>
        </w:rPr>
        <w:t xml:space="preserve">transitie van de </w:t>
      </w:r>
      <w:r>
        <w:rPr>
          <w:lang w:val="nl-NL"/>
        </w:rPr>
        <w:t xml:space="preserve">vastgoedportefeuille </w:t>
      </w:r>
      <w:r w:rsidR="00C778AC">
        <w:rPr>
          <w:lang w:val="nl-NL"/>
        </w:rPr>
        <w:t>is begin 2023 voltooid</w:t>
      </w:r>
      <w:r w:rsidR="00051C4B">
        <w:rPr>
          <w:lang w:val="nl-NL"/>
        </w:rPr>
        <w:t xml:space="preserve">, waarbij de </w:t>
      </w:r>
      <w:r>
        <w:rPr>
          <w:lang w:val="nl-NL"/>
        </w:rPr>
        <w:t xml:space="preserve">allocatie naar beursgenoteerd vastgoed </w:t>
      </w:r>
      <w:r w:rsidR="00051C4B">
        <w:rPr>
          <w:lang w:val="nl-NL"/>
        </w:rPr>
        <w:t xml:space="preserve">volledig </w:t>
      </w:r>
      <w:r w:rsidR="00437C95">
        <w:rPr>
          <w:lang w:val="nl-NL"/>
        </w:rPr>
        <w:t xml:space="preserve">is </w:t>
      </w:r>
      <w:r>
        <w:rPr>
          <w:lang w:val="nl-NL"/>
        </w:rPr>
        <w:t xml:space="preserve">afgebouwd en niet-beursgenoteerd vastgoed geografisch </w:t>
      </w:r>
      <w:r w:rsidR="002C1296">
        <w:rPr>
          <w:lang w:val="nl-NL"/>
        </w:rPr>
        <w:t xml:space="preserve">en sectoraal </w:t>
      </w:r>
      <w:r>
        <w:rPr>
          <w:lang w:val="nl-NL"/>
        </w:rPr>
        <w:t>w</w:t>
      </w:r>
      <w:r w:rsidR="00051C4B">
        <w:rPr>
          <w:lang w:val="nl-NL"/>
        </w:rPr>
        <w:t>erd</w:t>
      </w:r>
      <w:r>
        <w:rPr>
          <w:lang w:val="nl-NL"/>
        </w:rPr>
        <w:t xml:space="preserve"> gediversificeerd.  </w:t>
      </w:r>
      <w:bookmarkEnd w:id="54"/>
      <w:r w:rsidR="009442D1" w:rsidRPr="009442D1">
        <w:rPr>
          <w:lang w:val="nl-NL"/>
        </w:rPr>
        <w:t>De verdeling over beursgenoteerd vastgoed en niet-beursgenoteerd vastgoed is afgeleid van de strategische weging</w:t>
      </w:r>
      <w:r>
        <w:rPr>
          <w:lang w:val="nl-NL"/>
        </w:rPr>
        <w:t xml:space="preserve"> </w:t>
      </w:r>
      <w:r w:rsidR="009442D1" w:rsidRPr="009442D1">
        <w:rPr>
          <w:lang w:val="nl-NL"/>
        </w:rPr>
        <w:t>en luidt als volgt:</w:t>
      </w:r>
    </w:p>
    <w:p w14:paraId="24B5B1ED" w14:textId="77777777" w:rsidR="009442D1" w:rsidRPr="009442D1" w:rsidRDefault="009442D1" w:rsidP="009442D1">
      <w:pPr>
        <w:rPr>
          <w:lang w:val="nl-NL"/>
        </w:rPr>
      </w:pPr>
    </w:p>
    <w:tbl>
      <w:tblPr>
        <w:tblStyle w:val="Tabelraster"/>
        <w:tblW w:w="0" w:type="auto"/>
        <w:tblBorders>
          <w:top w:val="single" w:sz="4" w:space="0" w:color="00AFD2" w:themeColor="accent1"/>
          <w:left w:val="single" w:sz="4" w:space="0" w:color="00AFD2" w:themeColor="accent1"/>
          <w:bottom w:val="single" w:sz="4" w:space="0" w:color="00AFD2" w:themeColor="accent1"/>
          <w:right w:val="single" w:sz="4" w:space="0" w:color="00AFD2" w:themeColor="accent1"/>
          <w:insideH w:val="single" w:sz="4" w:space="0" w:color="00AFD2" w:themeColor="accent1"/>
          <w:insideV w:val="single" w:sz="4" w:space="0" w:color="00AFD2" w:themeColor="accent1"/>
        </w:tblBorders>
        <w:tblLook w:val="04A0" w:firstRow="1" w:lastRow="0" w:firstColumn="1" w:lastColumn="0" w:noHBand="0" w:noVBand="1"/>
      </w:tblPr>
      <w:tblGrid>
        <w:gridCol w:w="3000"/>
        <w:gridCol w:w="2017"/>
        <w:gridCol w:w="2024"/>
        <w:gridCol w:w="2020"/>
      </w:tblGrid>
      <w:tr w:rsidR="009442D1" w:rsidRPr="009442D1" w14:paraId="270AEE82" w14:textId="77777777" w:rsidTr="009442D1">
        <w:tc>
          <w:tcPr>
            <w:tcW w:w="3090" w:type="dxa"/>
            <w:shd w:val="clear" w:color="auto" w:fill="00AFD2" w:themeFill="accent1"/>
          </w:tcPr>
          <w:p w14:paraId="6977A7DD" w14:textId="77777777" w:rsidR="009442D1" w:rsidRPr="009442D1" w:rsidRDefault="009442D1" w:rsidP="009442D1">
            <w:pPr>
              <w:spacing w:before="20" w:after="20"/>
              <w:rPr>
                <w:b/>
                <w:color w:val="FFFFFF" w:themeColor="background1"/>
                <w:lang w:val="nl-NL"/>
              </w:rPr>
            </w:pPr>
            <w:r>
              <w:rPr>
                <w:b/>
                <w:color w:val="FFFFFF" w:themeColor="background1"/>
                <w:lang w:val="nl-NL"/>
              </w:rPr>
              <w:br/>
            </w:r>
            <w:r w:rsidRPr="009442D1">
              <w:rPr>
                <w:b/>
                <w:color w:val="FFFFFF" w:themeColor="background1"/>
                <w:lang w:val="nl-NL"/>
              </w:rPr>
              <w:t>Vastgoed</w:t>
            </w:r>
          </w:p>
        </w:tc>
        <w:tc>
          <w:tcPr>
            <w:tcW w:w="2065" w:type="dxa"/>
            <w:shd w:val="clear" w:color="auto" w:fill="00AFD2" w:themeFill="accent1"/>
          </w:tcPr>
          <w:p w14:paraId="2E6FB02A" w14:textId="647EC8A8" w:rsidR="009442D1" w:rsidRPr="009442D1" w:rsidRDefault="009442D1" w:rsidP="00737202">
            <w:pPr>
              <w:spacing w:before="20" w:after="20"/>
              <w:jc w:val="center"/>
              <w:rPr>
                <w:b/>
                <w:color w:val="FFFFFF" w:themeColor="background1"/>
                <w:lang w:val="nl-NL"/>
              </w:rPr>
            </w:pPr>
            <w:r>
              <w:rPr>
                <w:b/>
                <w:color w:val="FFFFFF" w:themeColor="background1"/>
                <w:lang w:val="nl-NL"/>
              </w:rPr>
              <w:br/>
            </w:r>
            <w:r w:rsidRPr="009442D1">
              <w:rPr>
                <w:b/>
                <w:color w:val="FFFFFF" w:themeColor="background1"/>
                <w:lang w:val="nl-NL"/>
              </w:rPr>
              <w:t>Doelweging</w:t>
            </w:r>
          </w:p>
        </w:tc>
        <w:tc>
          <w:tcPr>
            <w:tcW w:w="2066" w:type="dxa"/>
            <w:shd w:val="clear" w:color="auto" w:fill="00AFD2" w:themeFill="accent1"/>
          </w:tcPr>
          <w:p w14:paraId="0DC5FDCC" w14:textId="77777777" w:rsidR="009442D1" w:rsidRPr="009442D1" w:rsidRDefault="00737202" w:rsidP="00737202">
            <w:pPr>
              <w:spacing w:before="20" w:after="20"/>
              <w:jc w:val="center"/>
              <w:rPr>
                <w:b/>
                <w:color w:val="FFFFFF" w:themeColor="background1"/>
                <w:lang w:val="nl-NL"/>
              </w:rPr>
            </w:pPr>
            <w:r>
              <w:rPr>
                <w:b/>
                <w:color w:val="FFFFFF" w:themeColor="background1"/>
                <w:lang w:val="nl-NL"/>
              </w:rPr>
              <w:t>B</w:t>
            </w:r>
            <w:r w:rsidRPr="009442D1">
              <w:rPr>
                <w:b/>
                <w:color w:val="FFFFFF" w:themeColor="background1"/>
                <w:lang w:val="nl-NL"/>
              </w:rPr>
              <w:t>andbreedte</w:t>
            </w:r>
          </w:p>
        </w:tc>
        <w:tc>
          <w:tcPr>
            <w:tcW w:w="2066" w:type="dxa"/>
            <w:shd w:val="clear" w:color="auto" w:fill="00AFD2" w:themeFill="accent1"/>
          </w:tcPr>
          <w:p w14:paraId="7FA639F8" w14:textId="598DAAB8" w:rsidR="009442D1" w:rsidRPr="009442D1" w:rsidRDefault="009442D1" w:rsidP="009442D1">
            <w:pPr>
              <w:spacing w:before="20" w:after="20"/>
              <w:jc w:val="center"/>
              <w:rPr>
                <w:b/>
                <w:color w:val="FFFFFF" w:themeColor="background1"/>
                <w:lang w:val="nl-NL"/>
              </w:rPr>
            </w:pPr>
            <w:r>
              <w:rPr>
                <w:b/>
                <w:color w:val="FFFFFF" w:themeColor="background1"/>
                <w:lang w:val="nl-NL"/>
              </w:rPr>
              <w:t>Portefeuille-</w:t>
            </w:r>
            <w:r>
              <w:rPr>
                <w:b/>
                <w:color w:val="FFFFFF" w:themeColor="background1"/>
                <w:lang w:val="nl-NL"/>
              </w:rPr>
              <w:br/>
            </w:r>
            <w:r w:rsidRPr="009442D1">
              <w:rPr>
                <w:b/>
                <w:color w:val="FFFFFF" w:themeColor="background1"/>
                <w:lang w:val="nl-NL"/>
              </w:rPr>
              <w:t>niveau</w:t>
            </w:r>
          </w:p>
        </w:tc>
      </w:tr>
      <w:tr w:rsidR="009442D1" w:rsidRPr="009442D1" w14:paraId="06693B1D" w14:textId="77777777" w:rsidTr="009442D1">
        <w:tc>
          <w:tcPr>
            <w:tcW w:w="3090" w:type="dxa"/>
          </w:tcPr>
          <w:p w14:paraId="696CBE2D" w14:textId="77777777" w:rsidR="009442D1" w:rsidRPr="009442D1" w:rsidRDefault="009442D1" w:rsidP="009442D1">
            <w:pPr>
              <w:spacing w:before="20" w:after="20"/>
              <w:rPr>
                <w:b/>
                <w:lang w:val="nl-NL"/>
              </w:rPr>
            </w:pPr>
            <w:r w:rsidRPr="009442D1">
              <w:rPr>
                <w:b/>
                <w:lang w:val="nl-NL"/>
              </w:rPr>
              <w:t>Niet beursgenoteerd</w:t>
            </w:r>
          </w:p>
        </w:tc>
        <w:tc>
          <w:tcPr>
            <w:tcW w:w="2065" w:type="dxa"/>
          </w:tcPr>
          <w:p w14:paraId="0BC8B318" w14:textId="73ACAD0A" w:rsidR="009442D1" w:rsidRPr="009442D1" w:rsidRDefault="002245BD" w:rsidP="009442D1">
            <w:pPr>
              <w:spacing w:before="20" w:after="20"/>
              <w:jc w:val="center"/>
              <w:rPr>
                <w:lang w:val="nl-NL"/>
              </w:rPr>
            </w:pPr>
            <w:r>
              <w:rPr>
                <w:lang w:val="nl-NL"/>
              </w:rPr>
              <w:t>10</w:t>
            </w:r>
            <w:r w:rsidR="009442D1" w:rsidRPr="009442D1">
              <w:rPr>
                <w:lang w:val="nl-NL"/>
              </w:rPr>
              <w:t>0%</w:t>
            </w:r>
          </w:p>
        </w:tc>
        <w:tc>
          <w:tcPr>
            <w:tcW w:w="2066" w:type="dxa"/>
          </w:tcPr>
          <w:p w14:paraId="2D8B6507" w14:textId="5C66EAC5" w:rsidR="009442D1" w:rsidRPr="009442D1" w:rsidRDefault="002245BD" w:rsidP="009442D1">
            <w:pPr>
              <w:spacing w:before="20" w:after="20"/>
              <w:jc w:val="center"/>
              <w:rPr>
                <w:lang w:val="nl-NL"/>
              </w:rPr>
            </w:pPr>
            <w:r>
              <w:rPr>
                <w:lang w:val="nl-NL"/>
              </w:rPr>
              <w:t>6</w:t>
            </w:r>
            <w:r w:rsidR="009442D1" w:rsidRPr="009442D1">
              <w:rPr>
                <w:lang w:val="nl-NL"/>
              </w:rPr>
              <w:t>0%-</w:t>
            </w:r>
            <w:r w:rsidR="005D7A40">
              <w:rPr>
                <w:lang w:val="nl-NL"/>
              </w:rPr>
              <w:t>100</w:t>
            </w:r>
            <w:r w:rsidR="009442D1" w:rsidRPr="009442D1">
              <w:rPr>
                <w:lang w:val="nl-NL"/>
              </w:rPr>
              <w:t>%</w:t>
            </w:r>
          </w:p>
        </w:tc>
        <w:tc>
          <w:tcPr>
            <w:tcW w:w="2066" w:type="dxa"/>
          </w:tcPr>
          <w:p w14:paraId="57AF980E" w14:textId="3B0E8F54" w:rsidR="009442D1" w:rsidRPr="009442D1" w:rsidRDefault="00023192" w:rsidP="009442D1">
            <w:pPr>
              <w:spacing w:before="20" w:after="20"/>
              <w:jc w:val="center"/>
              <w:rPr>
                <w:lang w:val="nl-NL"/>
              </w:rPr>
            </w:pPr>
            <w:r>
              <w:rPr>
                <w:lang w:val="nl-NL"/>
              </w:rPr>
              <w:t>10</w:t>
            </w:r>
            <w:r w:rsidR="00123899">
              <w:rPr>
                <w:lang w:val="nl-NL"/>
              </w:rPr>
              <w:t>,0</w:t>
            </w:r>
            <w:r w:rsidR="009442D1" w:rsidRPr="009442D1">
              <w:rPr>
                <w:lang w:val="nl-NL"/>
              </w:rPr>
              <w:t>%</w:t>
            </w:r>
          </w:p>
        </w:tc>
      </w:tr>
      <w:tr w:rsidR="009442D1" w:rsidRPr="009442D1" w14:paraId="789D3234" w14:textId="77777777" w:rsidTr="00FD5988">
        <w:trPr>
          <w:trHeight w:val="50"/>
        </w:trPr>
        <w:tc>
          <w:tcPr>
            <w:tcW w:w="3090" w:type="dxa"/>
          </w:tcPr>
          <w:p w14:paraId="0E0D7BD7" w14:textId="77777777" w:rsidR="009442D1" w:rsidRPr="009442D1" w:rsidRDefault="009442D1" w:rsidP="009442D1">
            <w:pPr>
              <w:spacing w:before="20" w:after="20"/>
              <w:rPr>
                <w:b/>
                <w:lang w:val="nl-NL"/>
              </w:rPr>
            </w:pPr>
            <w:r w:rsidRPr="009442D1">
              <w:rPr>
                <w:b/>
                <w:lang w:val="nl-NL"/>
              </w:rPr>
              <w:t>Beursgenoteerd</w:t>
            </w:r>
          </w:p>
        </w:tc>
        <w:tc>
          <w:tcPr>
            <w:tcW w:w="2065" w:type="dxa"/>
          </w:tcPr>
          <w:p w14:paraId="36549257" w14:textId="42774102" w:rsidR="009442D1" w:rsidRPr="009442D1" w:rsidRDefault="009442D1" w:rsidP="009442D1">
            <w:pPr>
              <w:spacing w:before="20" w:after="20"/>
              <w:jc w:val="center"/>
              <w:rPr>
                <w:lang w:val="nl-NL"/>
              </w:rPr>
            </w:pPr>
            <w:r w:rsidRPr="009442D1">
              <w:rPr>
                <w:lang w:val="nl-NL"/>
              </w:rPr>
              <w:t>0%</w:t>
            </w:r>
          </w:p>
        </w:tc>
        <w:tc>
          <w:tcPr>
            <w:tcW w:w="2066" w:type="dxa"/>
          </w:tcPr>
          <w:p w14:paraId="657EE606" w14:textId="7405C49D" w:rsidR="009442D1" w:rsidRPr="009442D1" w:rsidRDefault="009442D1" w:rsidP="00184D33">
            <w:pPr>
              <w:spacing w:before="20" w:after="20"/>
              <w:jc w:val="center"/>
              <w:rPr>
                <w:lang w:val="nl-NL"/>
              </w:rPr>
            </w:pPr>
            <w:r w:rsidRPr="009442D1">
              <w:rPr>
                <w:lang w:val="nl-NL"/>
              </w:rPr>
              <w:t>0%-</w:t>
            </w:r>
            <w:r w:rsidR="002245BD">
              <w:rPr>
                <w:lang w:val="nl-NL"/>
              </w:rPr>
              <w:t>4</w:t>
            </w:r>
            <w:r w:rsidRPr="009442D1">
              <w:rPr>
                <w:lang w:val="nl-NL"/>
              </w:rPr>
              <w:t>0%</w:t>
            </w:r>
          </w:p>
        </w:tc>
        <w:tc>
          <w:tcPr>
            <w:tcW w:w="2066" w:type="dxa"/>
          </w:tcPr>
          <w:p w14:paraId="504B6CE3" w14:textId="389D61B5" w:rsidR="009442D1" w:rsidRPr="009442D1" w:rsidRDefault="00023192" w:rsidP="009442D1">
            <w:pPr>
              <w:spacing w:before="20" w:after="20"/>
              <w:jc w:val="center"/>
              <w:rPr>
                <w:lang w:val="nl-NL"/>
              </w:rPr>
            </w:pPr>
            <w:r>
              <w:rPr>
                <w:lang w:val="nl-NL"/>
              </w:rPr>
              <w:t>0</w:t>
            </w:r>
            <w:r w:rsidR="00123899">
              <w:rPr>
                <w:lang w:val="nl-NL"/>
              </w:rPr>
              <w:t>,0</w:t>
            </w:r>
            <w:r w:rsidR="009442D1" w:rsidRPr="009442D1">
              <w:rPr>
                <w:lang w:val="nl-NL"/>
              </w:rPr>
              <w:t>%</w:t>
            </w:r>
          </w:p>
        </w:tc>
      </w:tr>
      <w:tr w:rsidR="009442D1" w:rsidRPr="009442D1" w14:paraId="4FDC4693" w14:textId="77777777" w:rsidTr="009442D1">
        <w:tc>
          <w:tcPr>
            <w:tcW w:w="3090" w:type="dxa"/>
          </w:tcPr>
          <w:p w14:paraId="419BEAC1" w14:textId="77777777" w:rsidR="009442D1" w:rsidRPr="009442D1" w:rsidRDefault="009442D1" w:rsidP="009442D1">
            <w:pPr>
              <w:spacing w:before="20" w:after="20"/>
              <w:rPr>
                <w:b/>
                <w:lang w:val="nl-NL"/>
              </w:rPr>
            </w:pPr>
            <w:r w:rsidRPr="009442D1">
              <w:rPr>
                <w:b/>
                <w:lang w:val="nl-NL"/>
              </w:rPr>
              <w:t>Totaal vastgoed</w:t>
            </w:r>
          </w:p>
        </w:tc>
        <w:tc>
          <w:tcPr>
            <w:tcW w:w="2065" w:type="dxa"/>
          </w:tcPr>
          <w:p w14:paraId="1589BD51" w14:textId="77777777" w:rsidR="009442D1" w:rsidRPr="009442D1" w:rsidRDefault="009442D1" w:rsidP="009442D1">
            <w:pPr>
              <w:spacing w:before="20" w:after="20"/>
              <w:jc w:val="center"/>
              <w:rPr>
                <w:lang w:val="nl-NL"/>
              </w:rPr>
            </w:pPr>
            <w:r w:rsidRPr="009442D1">
              <w:rPr>
                <w:lang w:val="nl-NL"/>
              </w:rPr>
              <w:t>100%</w:t>
            </w:r>
          </w:p>
        </w:tc>
        <w:tc>
          <w:tcPr>
            <w:tcW w:w="2066" w:type="dxa"/>
          </w:tcPr>
          <w:p w14:paraId="60307FAD" w14:textId="2419B5A0" w:rsidR="009442D1" w:rsidRPr="009442D1" w:rsidRDefault="004777CE" w:rsidP="009442D1">
            <w:pPr>
              <w:spacing w:before="20" w:after="20"/>
              <w:jc w:val="center"/>
              <w:rPr>
                <w:lang w:val="nl-NL"/>
              </w:rPr>
            </w:pPr>
            <w:r>
              <w:rPr>
                <w:lang w:val="nl-NL"/>
              </w:rPr>
              <w:t>6</w:t>
            </w:r>
            <w:r w:rsidR="002A634A">
              <w:rPr>
                <w:lang w:val="nl-NL"/>
              </w:rPr>
              <w:t>%-1</w:t>
            </w:r>
            <w:r>
              <w:rPr>
                <w:lang w:val="nl-NL"/>
              </w:rPr>
              <w:t>4</w:t>
            </w:r>
            <w:r w:rsidR="002A634A">
              <w:rPr>
                <w:lang w:val="nl-NL"/>
              </w:rPr>
              <w:t>%</w:t>
            </w:r>
          </w:p>
        </w:tc>
        <w:tc>
          <w:tcPr>
            <w:tcW w:w="2066" w:type="dxa"/>
          </w:tcPr>
          <w:p w14:paraId="3F9EF2FA" w14:textId="77777777" w:rsidR="009442D1" w:rsidRPr="009442D1" w:rsidRDefault="00123899" w:rsidP="009442D1">
            <w:pPr>
              <w:spacing w:before="20" w:after="20"/>
              <w:jc w:val="center"/>
              <w:rPr>
                <w:lang w:val="nl-NL"/>
              </w:rPr>
            </w:pPr>
            <w:r>
              <w:rPr>
                <w:lang w:val="nl-NL"/>
              </w:rPr>
              <w:t>10</w:t>
            </w:r>
            <w:r w:rsidR="009442D1" w:rsidRPr="009442D1">
              <w:rPr>
                <w:lang w:val="nl-NL"/>
              </w:rPr>
              <w:t>%</w:t>
            </w:r>
          </w:p>
        </w:tc>
      </w:tr>
    </w:tbl>
    <w:p w14:paraId="508C4281" w14:textId="77777777" w:rsidR="00A01686" w:rsidRDefault="00A01686" w:rsidP="00451E81">
      <w:pPr>
        <w:rPr>
          <w:lang w:val="nl-NL"/>
        </w:rPr>
      </w:pPr>
    </w:p>
    <w:p w14:paraId="4F50163C" w14:textId="7E50B488" w:rsidR="008A791D" w:rsidRDefault="008A791D" w:rsidP="00451E81">
      <w:pPr>
        <w:rPr>
          <w:lang w:val="nl-NL"/>
        </w:rPr>
      </w:pPr>
    </w:p>
    <w:tbl>
      <w:tblPr>
        <w:tblStyle w:val="Tabelraster"/>
        <w:tblW w:w="9067" w:type="dxa"/>
        <w:tblBorders>
          <w:top w:val="single" w:sz="4" w:space="0" w:color="00AFD2" w:themeColor="accent1"/>
          <w:left w:val="single" w:sz="4" w:space="0" w:color="00AFD2" w:themeColor="accent1"/>
          <w:bottom w:val="single" w:sz="4" w:space="0" w:color="00AFD2" w:themeColor="accent1"/>
          <w:right w:val="single" w:sz="4" w:space="0" w:color="00AFD2" w:themeColor="accent1"/>
          <w:insideH w:val="single" w:sz="4" w:space="0" w:color="00AFD2" w:themeColor="accent1"/>
          <w:insideV w:val="single" w:sz="4" w:space="0" w:color="00AFD2" w:themeColor="accent1"/>
        </w:tblBorders>
        <w:tblLook w:val="04A0" w:firstRow="1" w:lastRow="0" w:firstColumn="1" w:lastColumn="0" w:noHBand="0" w:noVBand="1"/>
      </w:tblPr>
      <w:tblGrid>
        <w:gridCol w:w="3001"/>
        <w:gridCol w:w="2015"/>
        <w:gridCol w:w="4051"/>
      </w:tblGrid>
      <w:tr w:rsidR="00FD5988" w:rsidRPr="009442D1" w14:paraId="5BDEE57B" w14:textId="77777777" w:rsidTr="00FD5988">
        <w:tc>
          <w:tcPr>
            <w:tcW w:w="3001" w:type="dxa"/>
            <w:shd w:val="clear" w:color="auto" w:fill="00AFD2" w:themeFill="accent1"/>
          </w:tcPr>
          <w:p w14:paraId="26289FE7" w14:textId="21D714F5" w:rsidR="00FD5988" w:rsidRPr="009442D1" w:rsidRDefault="00FD5988">
            <w:pPr>
              <w:spacing w:before="20" w:after="20"/>
              <w:rPr>
                <w:b/>
                <w:color w:val="FFFFFF" w:themeColor="background1"/>
                <w:lang w:val="nl-NL"/>
              </w:rPr>
            </w:pPr>
            <w:r>
              <w:rPr>
                <w:b/>
                <w:color w:val="FFFFFF" w:themeColor="background1"/>
                <w:lang w:val="nl-NL"/>
              </w:rPr>
              <w:br/>
              <w:t>in%</w:t>
            </w:r>
          </w:p>
        </w:tc>
        <w:tc>
          <w:tcPr>
            <w:tcW w:w="2015" w:type="dxa"/>
            <w:shd w:val="clear" w:color="auto" w:fill="00AFD2" w:themeFill="accent1"/>
          </w:tcPr>
          <w:p w14:paraId="7F8B307D" w14:textId="38D3E54F" w:rsidR="00FD5988" w:rsidRPr="009442D1" w:rsidRDefault="00FD5988">
            <w:pPr>
              <w:spacing w:before="20" w:after="20"/>
              <w:jc w:val="center"/>
              <w:rPr>
                <w:b/>
                <w:color w:val="FFFFFF" w:themeColor="background1"/>
                <w:lang w:val="nl-NL"/>
              </w:rPr>
            </w:pPr>
            <w:r>
              <w:rPr>
                <w:b/>
                <w:color w:val="FFFFFF" w:themeColor="background1"/>
                <w:lang w:val="nl-NL"/>
              </w:rPr>
              <w:br/>
              <w:t>Norm</w:t>
            </w:r>
          </w:p>
        </w:tc>
        <w:tc>
          <w:tcPr>
            <w:tcW w:w="4051" w:type="dxa"/>
            <w:shd w:val="clear" w:color="auto" w:fill="00AFD2" w:themeFill="accent1"/>
          </w:tcPr>
          <w:p w14:paraId="19D027DE" w14:textId="77777777" w:rsidR="00FD5988" w:rsidRPr="009442D1" w:rsidRDefault="00FD5988">
            <w:pPr>
              <w:spacing w:before="20" w:after="20"/>
              <w:jc w:val="center"/>
              <w:rPr>
                <w:b/>
                <w:color w:val="FFFFFF" w:themeColor="background1"/>
                <w:lang w:val="nl-NL"/>
              </w:rPr>
            </w:pPr>
            <w:r>
              <w:rPr>
                <w:b/>
                <w:color w:val="FFFFFF" w:themeColor="background1"/>
                <w:lang w:val="nl-NL"/>
              </w:rPr>
              <w:t>B</w:t>
            </w:r>
            <w:r w:rsidRPr="009442D1">
              <w:rPr>
                <w:b/>
                <w:color w:val="FFFFFF" w:themeColor="background1"/>
                <w:lang w:val="nl-NL"/>
              </w:rPr>
              <w:t>andbreedte</w:t>
            </w:r>
          </w:p>
        </w:tc>
      </w:tr>
      <w:tr w:rsidR="00467BD1" w:rsidRPr="009442D1" w14:paraId="7AFE2E48" w14:textId="77777777" w:rsidTr="00FD5988">
        <w:tc>
          <w:tcPr>
            <w:tcW w:w="3001" w:type="dxa"/>
          </w:tcPr>
          <w:p w14:paraId="11167D6C" w14:textId="640989AE" w:rsidR="00467BD1" w:rsidRPr="009442D1" w:rsidRDefault="00467BD1" w:rsidP="00467BD1">
            <w:pPr>
              <w:spacing w:before="20" w:after="20"/>
              <w:rPr>
                <w:b/>
                <w:lang w:val="nl-NL"/>
              </w:rPr>
            </w:pPr>
            <w:r>
              <w:rPr>
                <w:b/>
                <w:lang w:val="nl-NL"/>
              </w:rPr>
              <w:t>Woningen</w:t>
            </w:r>
          </w:p>
        </w:tc>
        <w:tc>
          <w:tcPr>
            <w:tcW w:w="2015" w:type="dxa"/>
          </w:tcPr>
          <w:p w14:paraId="26D654A1" w14:textId="41D482AD" w:rsidR="00467BD1" w:rsidRPr="009442D1" w:rsidRDefault="00467BD1" w:rsidP="00467BD1">
            <w:pPr>
              <w:spacing w:before="20" w:after="20"/>
              <w:jc w:val="center"/>
              <w:rPr>
                <w:lang w:val="nl-NL"/>
              </w:rPr>
            </w:pPr>
            <w:r w:rsidRPr="00467BD1">
              <w:rPr>
                <w:lang w:val="nl-NL"/>
              </w:rPr>
              <w:t>50%</w:t>
            </w:r>
          </w:p>
        </w:tc>
        <w:tc>
          <w:tcPr>
            <w:tcW w:w="4051" w:type="dxa"/>
          </w:tcPr>
          <w:p w14:paraId="07796767" w14:textId="61D56F30" w:rsidR="00467BD1" w:rsidRPr="009442D1" w:rsidRDefault="00467BD1" w:rsidP="00467BD1">
            <w:pPr>
              <w:spacing w:before="20" w:after="20"/>
              <w:jc w:val="center"/>
              <w:rPr>
                <w:lang w:val="nl-NL"/>
              </w:rPr>
            </w:pPr>
            <w:r w:rsidRPr="00467BD1">
              <w:rPr>
                <w:lang w:val="nl-NL"/>
              </w:rPr>
              <w:t>45% – 100%</w:t>
            </w:r>
          </w:p>
        </w:tc>
      </w:tr>
      <w:tr w:rsidR="00467BD1" w:rsidRPr="009442D1" w14:paraId="60BF643B" w14:textId="77777777" w:rsidTr="00FD5988">
        <w:trPr>
          <w:trHeight w:val="50"/>
        </w:trPr>
        <w:tc>
          <w:tcPr>
            <w:tcW w:w="3001" w:type="dxa"/>
          </w:tcPr>
          <w:p w14:paraId="04427533" w14:textId="5775B227" w:rsidR="00467BD1" w:rsidRPr="009442D1" w:rsidRDefault="00467BD1" w:rsidP="00467BD1">
            <w:pPr>
              <w:spacing w:before="20" w:after="20"/>
              <w:rPr>
                <w:b/>
                <w:lang w:val="nl-NL"/>
              </w:rPr>
            </w:pPr>
            <w:r>
              <w:rPr>
                <w:b/>
                <w:lang w:val="nl-NL"/>
              </w:rPr>
              <w:t>Winkels</w:t>
            </w:r>
          </w:p>
        </w:tc>
        <w:tc>
          <w:tcPr>
            <w:tcW w:w="2015" w:type="dxa"/>
          </w:tcPr>
          <w:p w14:paraId="0496CE84" w14:textId="4C8C0510" w:rsidR="00467BD1" w:rsidRPr="009442D1" w:rsidRDefault="00467BD1" w:rsidP="00467BD1">
            <w:pPr>
              <w:spacing w:before="20" w:after="20"/>
              <w:jc w:val="center"/>
              <w:rPr>
                <w:lang w:val="nl-NL"/>
              </w:rPr>
            </w:pPr>
            <w:r w:rsidRPr="00467BD1">
              <w:rPr>
                <w:lang w:val="nl-NL"/>
              </w:rPr>
              <w:t>12,5%</w:t>
            </w:r>
          </w:p>
        </w:tc>
        <w:tc>
          <w:tcPr>
            <w:tcW w:w="4051" w:type="dxa"/>
          </w:tcPr>
          <w:p w14:paraId="287D5F24" w14:textId="541773C8" w:rsidR="00467BD1" w:rsidRPr="009442D1" w:rsidRDefault="00467BD1" w:rsidP="00467BD1">
            <w:pPr>
              <w:spacing w:before="20" w:after="20"/>
              <w:jc w:val="center"/>
              <w:rPr>
                <w:lang w:val="nl-NL"/>
              </w:rPr>
            </w:pPr>
            <w:r w:rsidRPr="00467BD1">
              <w:rPr>
                <w:lang w:val="nl-NL"/>
              </w:rPr>
              <w:t>0% – 15%</w:t>
            </w:r>
          </w:p>
        </w:tc>
      </w:tr>
      <w:tr w:rsidR="00467BD1" w:rsidRPr="009442D1" w14:paraId="558D6A5B" w14:textId="77777777" w:rsidTr="00FD5988">
        <w:tc>
          <w:tcPr>
            <w:tcW w:w="3001" w:type="dxa"/>
          </w:tcPr>
          <w:p w14:paraId="297517DB" w14:textId="37AE893F" w:rsidR="00467BD1" w:rsidRPr="009442D1" w:rsidRDefault="00467BD1" w:rsidP="00467BD1">
            <w:pPr>
              <w:spacing w:before="20" w:after="20"/>
              <w:rPr>
                <w:b/>
                <w:lang w:val="nl-NL"/>
              </w:rPr>
            </w:pPr>
            <w:r>
              <w:rPr>
                <w:b/>
                <w:lang w:val="nl-NL"/>
              </w:rPr>
              <w:t>Logistiek</w:t>
            </w:r>
          </w:p>
        </w:tc>
        <w:tc>
          <w:tcPr>
            <w:tcW w:w="2015" w:type="dxa"/>
          </w:tcPr>
          <w:p w14:paraId="0C210008" w14:textId="6AEF22B4" w:rsidR="00467BD1" w:rsidRPr="009442D1" w:rsidRDefault="00467BD1" w:rsidP="00467BD1">
            <w:pPr>
              <w:spacing w:before="20" w:after="20"/>
              <w:jc w:val="center"/>
              <w:rPr>
                <w:lang w:val="nl-NL"/>
              </w:rPr>
            </w:pPr>
            <w:r w:rsidRPr="00467BD1">
              <w:rPr>
                <w:lang w:val="nl-NL"/>
              </w:rPr>
              <w:t>25%</w:t>
            </w:r>
          </w:p>
        </w:tc>
        <w:tc>
          <w:tcPr>
            <w:tcW w:w="4051" w:type="dxa"/>
          </w:tcPr>
          <w:p w14:paraId="690AF3B8" w14:textId="22C1965A" w:rsidR="00467BD1" w:rsidRPr="009442D1" w:rsidRDefault="00467BD1" w:rsidP="00467BD1">
            <w:pPr>
              <w:spacing w:before="20" w:after="20"/>
              <w:jc w:val="center"/>
              <w:rPr>
                <w:lang w:val="nl-NL"/>
              </w:rPr>
            </w:pPr>
            <w:r w:rsidRPr="00467BD1">
              <w:rPr>
                <w:lang w:val="nl-NL"/>
              </w:rPr>
              <w:t>0% – 40%</w:t>
            </w:r>
          </w:p>
        </w:tc>
      </w:tr>
      <w:tr w:rsidR="00467BD1" w:rsidRPr="009442D1" w14:paraId="219DC7CE" w14:textId="77777777" w:rsidTr="00FD5988">
        <w:tc>
          <w:tcPr>
            <w:tcW w:w="3001" w:type="dxa"/>
          </w:tcPr>
          <w:p w14:paraId="40D5F76E" w14:textId="4C73887B" w:rsidR="00467BD1" w:rsidRDefault="00467BD1" w:rsidP="00467BD1">
            <w:pPr>
              <w:spacing w:before="20" w:after="20"/>
              <w:rPr>
                <w:b/>
                <w:lang w:val="nl-NL"/>
              </w:rPr>
            </w:pPr>
            <w:r>
              <w:rPr>
                <w:b/>
                <w:lang w:val="nl-NL"/>
              </w:rPr>
              <w:lastRenderedPageBreak/>
              <w:t>Kantoren</w:t>
            </w:r>
          </w:p>
        </w:tc>
        <w:tc>
          <w:tcPr>
            <w:tcW w:w="2015" w:type="dxa"/>
          </w:tcPr>
          <w:p w14:paraId="6B8220AF" w14:textId="7313492D" w:rsidR="00467BD1" w:rsidRPr="009442D1" w:rsidRDefault="00467BD1" w:rsidP="00467BD1">
            <w:pPr>
              <w:spacing w:before="20" w:after="20"/>
              <w:jc w:val="center"/>
              <w:rPr>
                <w:lang w:val="nl-NL"/>
              </w:rPr>
            </w:pPr>
            <w:r w:rsidRPr="00467BD1">
              <w:rPr>
                <w:lang w:val="nl-NL"/>
              </w:rPr>
              <w:t>12,5%</w:t>
            </w:r>
          </w:p>
        </w:tc>
        <w:tc>
          <w:tcPr>
            <w:tcW w:w="4051" w:type="dxa"/>
          </w:tcPr>
          <w:p w14:paraId="7A2CBEB9" w14:textId="77B1B43D" w:rsidR="00467BD1" w:rsidRDefault="00467BD1" w:rsidP="00467BD1">
            <w:pPr>
              <w:spacing w:before="20" w:after="20"/>
              <w:jc w:val="center"/>
              <w:rPr>
                <w:lang w:val="nl-NL"/>
              </w:rPr>
            </w:pPr>
            <w:r w:rsidRPr="00467BD1">
              <w:rPr>
                <w:lang w:val="nl-NL"/>
              </w:rPr>
              <w:t>0% – 25%</w:t>
            </w:r>
          </w:p>
        </w:tc>
      </w:tr>
      <w:tr w:rsidR="00467BD1" w:rsidRPr="009442D1" w14:paraId="21658F6F" w14:textId="77777777" w:rsidTr="00FD5988">
        <w:tc>
          <w:tcPr>
            <w:tcW w:w="3001" w:type="dxa"/>
          </w:tcPr>
          <w:p w14:paraId="6D6B5BF3" w14:textId="6A2FA583" w:rsidR="00467BD1" w:rsidRDefault="00467BD1" w:rsidP="00467BD1">
            <w:pPr>
              <w:spacing w:before="20" w:after="20"/>
              <w:rPr>
                <w:b/>
                <w:lang w:val="nl-NL"/>
              </w:rPr>
            </w:pPr>
            <w:r>
              <w:rPr>
                <w:b/>
                <w:lang w:val="nl-NL"/>
              </w:rPr>
              <w:t>Overig</w:t>
            </w:r>
          </w:p>
        </w:tc>
        <w:tc>
          <w:tcPr>
            <w:tcW w:w="2015" w:type="dxa"/>
          </w:tcPr>
          <w:p w14:paraId="4AB3621A" w14:textId="45EB31DE" w:rsidR="00467BD1" w:rsidRPr="009442D1" w:rsidRDefault="00467BD1" w:rsidP="00467BD1">
            <w:pPr>
              <w:spacing w:before="20" w:after="20"/>
              <w:jc w:val="center"/>
              <w:rPr>
                <w:lang w:val="nl-NL"/>
              </w:rPr>
            </w:pPr>
            <w:r w:rsidRPr="00467BD1">
              <w:rPr>
                <w:lang w:val="nl-NL"/>
              </w:rPr>
              <w:t>0%</w:t>
            </w:r>
          </w:p>
        </w:tc>
        <w:tc>
          <w:tcPr>
            <w:tcW w:w="4051" w:type="dxa"/>
          </w:tcPr>
          <w:p w14:paraId="5EC75DC7" w14:textId="775C752E" w:rsidR="00467BD1" w:rsidRDefault="00467BD1" w:rsidP="00467BD1">
            <w:pPr>
              <w:spacing w:before="20" w:after="20"/>
              <w:jc w:val="center"/>
              <w:rPr>
                <w:lang w:val="nl-NL"/>
              </w:rPr>
            </w:pPr>
            <w:r w:rsidRPr="00467BD1">
              <w:rPr>
                <w:lang w:val="nl-NL"/>
              </w:rPr>
              <w:t>0% – 10%</w:t>
            </w:r>
          </w:p>
        </w:tc>
      </w:tr>
    </w:tbl>
    <w:p w14:paraId="2FE0252F" w14:textId="77777777" w:rsidR="00A01686" w:rsidRDefault="00A01686" w:rsidP="00451E81">
      <w:pPr>
        <w:rPr>
          <w:lang w:val="nl-NL"/>
        </w:rPr>
      </w:pPr>
    </w:p>
    <w:p w14:paraId="664D971F" w14:textId="77777777" w:rsidR="008A791D" w:rsidRDefault="008A791D" w:rsidP="00451E81">
      <w:pPr>
        <w:rPr>
          <w:lang w:val="nl-NL"/>
        </w:rPr>
      </w:pPr>
    </w:p>
    <w:tbl>
      <w:tblPr>
        <w:tblStyle w:val="Tabelraster"/>
        <w:tblW w:w="9067" w:type="dxa"/>
        <w:tblBorders>
          <w:top w:val="single" w:sz="4" w:space="0" w:color="00AFD2" w:themeColor="accent1"/>
          <w:left w:val="single" w:sz="4" w:space="0" w:color="00AFD2" w:themeColor="accent1"/>
          <w:bottom w:val="single" w:sz="4" w:space="0" w:color="00AFD2" w:themeColor="accent1"/>
          <w:right w:val="single" w:sz="4" w:space="0" w:color="00AFD2" w:themeColor="accent1"/>
          <w:insideH w:val="single" w:sz="4" w:space="0" w:color="00AFD2" w:themeColor="accent1"/>
          <w:insideV w:val="single" w:sz="4" w:space="0" w:color="00AFD2" w:themeColor="accent1"/>
        </w:tblBorders>
        <w:tblLook w:val="04A0" w:firstRow="1" w:lastRow="0" w:firstColumn="1" w:lastColumn="0" w:noHBand="0" w:noVBand="1"/>
      </w:tblPr>
      <w:tblGrid>
        <w:gridCol w:w="3001"/>
        <w:gridCol w:w="2015"/>
        <w:gridCol w:w="4051"/>
      </w:tblGrid>
      <w:tr w:rsidR="008A791D" w:rsidRPr="009442D1" w14:paraId="276648B4" w14:textId="77777777">
        <w:tc>
          <w:tcPr>
            <w:tcW w:w="3001" w:type="dxa"/>
            <w:shd w:val="clear" w:color="auto" w:fill="00AFD2" w:themeFill="accent1"/>
          </w:tcPr>
          <w:p w14:paraId="3C3C1C2F" w14:textId="77777777" w:rsidR="008A791D" w:rsidRPr="009442D1" w:rsidRDefault="008A791D">
            <w:pPr>
              <w:spacing w:before="20" w:after="20"/>
              <w:rPr>
                <w:b/>
                <w:color w:val="FFFFFF" w:themeColor="background1"/>
                <w:lang w:val="nl-NL"/>
              </w:rPr>
            </w:pPr>
            <w:r>
              <w:rPr>
                <w:b/>
                <w:color w:val="FFFFFF" w:themeColor="background1"/>
                <w:lang w:val="nl-NL"/>
              </w:rPr>
              <w:br/>
              <w:t>in%</w:t>
            </w:r>
          </w:p>
        </w:tc>
        <w:tc>
          <w:tcPr>
            <w:tcW w:w="2015" w:type="dxa"/>
            <w:shd w:val="clear" w:color="auto" w:fill="00AFD2" w:themeFill="accent1"/>
          </w:tcPr>
          <w:p w14:paraId="6911FDA8" w14:textId="77777777" w:rsidR="008A791D" w:rsidRPr="009442D1" w:rsidRDefault="008A791D">
            <w:pPr>
              <w:spacing w:before="20" w:after="20"/>
              <w:jc w:val="center"/>
              <w:rPr>
                <w:b/>
                <w:color w:val="FFFFFF" w:themeColor="background1"/>
                <w:lang w:val="nl-NL"/>
              </w:rPr>
            </w:pPr>
            <w:r>
              <w:rPr>
                <w:b/>
                <w:color w:val="FFFFFF" w:themeColor="background1"/>
                <w:lang w:val="nl-NL"/>
              </w:rPr>
              <w:br/>
              <w:t>Norm</w:t>
            </w:r>
          </w:p>
        </w:tc>
        <w:tc>
          <w:tcPr>
            <w:tcW w:w="4051" w:type="dxa"/>
            <w:shd w:val="clear" w:color="auto" w:fill="00AFD2" w:themeFill="accent1"/>
          </w:tcPr>
          <w:p w14:paraId="723CF3EA" w14:textId="77777777" w:rsidR="008A791D" w:rsidRPr="009442D1" w:rsidRDefault="008A791D">
            <w:pPr>
              <w:spacing w:before="20" w:after="20"/>
              <w:jc w:val="center"/>
              <w:rPr>
                <w:b/>
                <w:color w:val="FFFFFF" w:themeColor="background1"/>
                <w:lang w:val="nl-NL"/>
              </w:rPr>
            </w:pPr>
            <w:r>
              <w:rPr>
                <w:b/>
                <w:color w:val="FFFFFF" w:themeColor="background1"/>
                <w:lang w:val="nl-NL"/>
              </w:rPr>
              <w:t>B</w:t>
            </w:r>
            <w:r w:rsidRPr="009442D1">
              <w:rPr>
                <w:b/>
                <w:color w:val="FFFFFF" w:themeColor="background1"/>
                <w:lang w:val="nl-NL"/>
              </w:rPr>
              <w:t>andbreedte</w:t>
            </w:r>
          </w:p>
        </w:tc>
      </w:tr>
      <w:tr w:rsidR="008A791D" w:rsidRPr="009442D1" w14:paraId="4E11E767" w14:textId="77777777">
        <w:tc>
          <w:tcPr>
            <w:tcW w:w="3001" w:type="dxa"/>
          </w:tcPr>
          <w:p w14:paraId="19FFDC10" w14:textId="1726DE2B" w:rsidR="008A791D" w:rsidRPr="009442D1" w:rsidRDefault="008A791D">
            <w:pPr>
              <w:spacing w:before="20" w:after="20"/>
              <w:rPr>
                <w:b/>
                <w:lang w:val="nl-NL"/>
              </w:rPr>
            </w:pPr>
            <w:r>
              <w:rPr>
                <w:b/>
                <w:lang w:val="nl-NL"/>
              </w:rPr>
              <w:t>Nederland</w:t>
            </w:r>
          </w:p>
        </w:tc>
        <w:tc>
          <w:tcPr>
            <w:tcW w:w="2015" w:type="dxa"/>
          </w:tcPr>
          <w:p w14:paraId="07AA0DE9" w14:textId="77777777" w:rsidR="008A791D" w:rsidRPr="009442D1" w:rsidRDefault="008A791D">
            <w:pPr>
              <w:spacing w:before="20" w:after="20"/>
              <w:jc w:val="center"/>
              <w:rPr>
                <w:lang w:val="nl-NL"/>
              </w:rPr>
            </w:pPr>
            <w:r w:rsidRPr="00467BD1">
              <w:rPr>
                <w:lang w:val="nl-NL"/>
              </w:rPr>
              <w:t>50%</w:t>
            </w:r>
          </w:p>
        </w:tc>
        <w:tc>
          <w:tcPr>
            <w:tcW w:w="4051" w:type="dxa"/>
          </w:tcPr>
          <w:p w14:paraId="21E44AAF" w14:textId="0984D179" w:rsidR="008A791D" w:rsidRPr="009442D1" w:rsidRDefault="008A791D">
            <w:pPr>
              <w:spacing w:before="20" w:after="20"/>
              <w:jc w:val="center"/>
              <w:rPr>
                <w:lang w:val="nl-NL"/>
              </w:rPr>
            </w:pPr>
            <w:r w:rsidRPr="00467BD1">
              <w:rPr>
                <w:lang w:val="nl-NL"/>
              </w:rPr>
              <w:t>4</w:t>
            </w:r>
            <w:r>
              <w:rPr>
                <w:lang w:val="nl-NL"/>
              </w:rPr>
              <w:t>0</w:t>
            </w:r>
            <w:r w:rsidRPr="00467BD1">
              <w:rPr>
                <w:lang w:val="nl-NL"/>
              </w:rPr>
              <w:t>% – 100%</w:t>
            </w:r>
          </w:p>
        </w:tc>
      </w:tr>
      <w:tr w:rsidR="008A791D" w:rsidRPr="009442D1" w14:paraId="117DFE3D" w14:textId="77777777">
        <w:trPr>
          <w:trHeight w:val="50"/>
        </w:trPr>
        <w:tc>
          <w:tcPr>
            <w:tcW w:w="3001" w:type="dxa"/>
          </w:tcPr>
          <w:p w14:paraId="1FE72D5E" w14:textId="0894F8A7" w:rsidR="008A791D" w:rsidRPr="009442D1" w:rsidRDefault="008A791D">
            <w:pPr>
              <w:spacing w:before="20" w:after="20"/>
              <w:rPr>
                <w:b/>
                <w:lang w:val="nl-NL"/>
              </w:rPr>
            </w:pPr>
            <w:r>
              <w:rPr>
                <w:b/>
                <w:lang w:val="nl-NL"/>
              </w:rPr>
              <w:t>Europa</w:t>
            </w:r>
          </w:p>
        </w:tc>
        <w:tc>
          <w:tcPr>
            <w:tcW w:w="2015" w:type="dxa"/>
          </w:tcPr>
          <w:p w14:paraId="02C4258D" w14:textId="64537A44" w:rsidR="008A791D" w:rsidRPr="009442D1" w:rsidRDefault="008A791D">
            <w:pPr>
              <w:spacing w:before="20" w:after="20"/>
              <w:jc w:val="center"/>
              <w:rPr>
                <w:lang w:val="nl-NL"/>
              </w:rPr>
            </w:pPr>
            <w:r w:rsidRPr="00467BD1">
              <w:rPr>
                <w:lang w:val="nl-NL"/>
              </w:rPr>
              <w:t>1</w:t>
            </w:r>
            <w:r>
              <w:rPr>
                <w:lang w:val="nl-NL"/>
              </w:rPr>
              <w:t>5</w:t>
            </w:r>
            <w:r w:rsidRPr="00467BD1">
              <w:rPr>
                <w:lang w:val="nl-NL"/>
              </w:rPr>
              <w:t>%</w:t>
            </w:r>
          </w:p>
        </w:tc>
        <w:tc>
          <w:tcPr>
            <w:tcW w:w="4051" w:type="dxa"/>
          </w:tcPr>
          <w:p w14:paraId="39E140C1" w14:textId="6B099F66" w:rsidR="008A791D" w:rsidRPr="009442D1" w:rsidRDefault="008A791D">
            <w:pPr>
              <w:spacing w:before="20" w:after="20"/>
              <w:jc w:val="center"/>
              <w:rPr>
                <w:lang w:val="nl-NL"/>
              </w:rPr>
            </w:pPr>
            <w:r w:rsidRPr="00467BD1">
              <w:rPr>
                <w:lang w:val="nl-NL"/>
              </w:rPr>
              <w:t xml:space="preserve">0% – </w:t>
            </w:r>
            <w:r>
              <w:rPr>
                <w:lang w:val="nl-NL"/>
              </w:rPr>
              <w:t>30</w:t>
            </w:r>
            <w:r w:rsidRPr="00467BD1">
              <w:rPr>
                <w:lang w:val="nl-NL"/>
              </w:rPr>
              <w:t>%</w:t>
            </w:r>
          </w:p>
        </w:tc>
      </w:tr>
      <w:tr w:rsidR="008A791D" w:rsidRPr="009442D1" w14:paraId="7EE9DE24" w14:textId="77777777">
        <w:tc>
          <w:tcPr>
            <w:tcW w:w="3001" w:type="dxa"/>
          </w:tcPr>
          <w:p w14:paraId="298F37A3" w14:textId="1C1D6F7A" w:rsidR="008A791D" w:rsidRPr="009442D1" w:rsidRDefault="008A791D">
            <w:pPr>
              <w:spacing w:before="20" w:after="20"/>
              <w:rPr>
                <w:b/>
                <w:lang w:val="nl-NL"/>
              </w:rPr>
            </w:pPr>
            <w:r>
              <w:rPr>
                <w:b/>
                <w:lang w:val="nl-NL"/>
              </w:rPr>
              <w:t>Verenigde Staten</w:t>
            </w:r>
          </w:p>
        </w:tc>
        <w:tc>
          <w:tcPr>
            <w:tcW w:w="2015" w:type="dxa"/>
          </w:tcPr>
          <w:p w14:paraId="76563B02" w14:textId="77777777" w:rsidR="008A791D" w:rsidRPr="009442D1" w:rsidRDefault="008A791D">
            <w:pPr>
              <w:spacing w:before="20" w:after="20"/>
              <w:jc w:val="center"/>
              <w:rPr>
                <w:lang w:val="nl-NL"/>
              </w:rPr>
            </w:pPr>
            <w:r w:rsidRPr="00467BD1">
              <w:rPr>
                <w:lang w:val="nl-NL"/>
              </w:rPr>
              <w:t>25%</w:t>
            </w:r>
          </w:p>
        </w:tc>
        <w:tc>
          <w:tcPr>
            <w:tcW w:w="4051" w:type="dxa"/>
          </w:tcPr>
          <w:p w14:paraId="6522B0EA" w14:textId="01E0907D" w:rsidR="008A791D" w:rsidRPr="009442D1" w:rsidRDefault="008A791D">
            <w:pPr>
              <w:spacing w:before="20" w:after="20"/>
              <w:jc w:val="center"/>
              <w:rPr>
                <w:lang w:val="nl-NL"/>
              </w:rPr>
            </w:pPr>
            <w:r w:rsidRPr="00467BD1">
              <w:rPr>
                <w:lang w:val="nl-NL"/>
              </w:rPr>
              <w:t xml:space="preserve">0% – </w:t>
            </w:r>
            <w:r>
              <w:rPr>
                <w:lang w:val="nl-NL"/>
              </w:rPr>
              <w:t>35</w:t>
            </w:r>
            <w:r w:rsidRPr="00467BD1">
              <w:rPr>
                <w:lang w:val="nl-NL"/>
              </w:rPr>
              <w:t>%</w:t>
            </w:r>
          </w:p>
        </w:tc>
      </w:tr>
      <w:tr w:rsidR="008A791D" w:rsidRPr="009442D1" w14:paraId="742200BE" w14:textId="77777777">
        <w:tc>
          <w:tcPr>
            <w:tcW w:w="3001" w:type="dxa"/>
          </w:tcPr>
          <w:p w14:paraId="6CFC02D0" w14:textId="6198ACE3" w:rsidR="008A791D" w:rsidRDefault="008A791D">
            <w:pPr>
              <w:spacing w:before="20" w:after="20"/>
              <w:rPr>
                <w:b/>
                <w:lang w:val="nl-NL"/>
              </w:rPr>
            </w:pPr>
            <w:r>
              <w:rPr>
                <w:b/>
                <w:lang w:val="nl-NL"/>
              </w:rPr>
              <w:t>Azië Pacific</w:t>
            </w:r>
          </w:p>
        </w:tc>
        <w:tc>
          <w:tcPr>
            <w:tcW w:w="2015" w:type="dxa"/>
          </w:tcPr>
          <w:p w14:paraId="1B04C998" w14:textId="2DED667C" w:rsidR="008A791D" w:rsidRPr="009442D1" w:rsidRDefault="008A791D">
            <w:pPr>
              <w:spacing w:before="20" w:after="20"/>
              <w:jc w:val="center"/>
              <w:rPr>
                <w:lang w:val="nl-NL"/>
              </w:rPr>
            </w:pPr>
            <w:r w:rsidRPr="00467BD1">
              <w:rPr>
                <w:lang w:val="nl-NL"/>
              </w:rPr>
              <w:t>1</w:t>
            </w:r>
            <w:r>
              <w:rPr>
                <w:lang w:val="nl-NL"/>
              </w:rPr>
              <w:t>0</w:t>
            </w:r>
            <w:r w:rsidRPr="00467BD1">
              <w:rPr>
                <w:lang w:val="nl-NL"/>
              </w:rPr>
              <w:t>%</w:t>
            </w:r>
          </w:p>
        </w:tc>
        <w:tc>
          <w:tcPr>
            <w:tcW w:w="4051" w:type="dxa"/>
          </w:tcPr>
          <w:p w14:paraId="21B69294" w14:textId="53697DD2" w:rsidR="008A791D" w:rsidRDefault="008A791D">
            <w:pPr>
              <w:spacing w:before="20" w:after="20"/>
              <w:jc w:val="center"/>
              <w:rPr>
                <w:lang w:val="nl-NL"/>
              </w:rPr>
            </w:pPr>
            <w:r w:rsidRPr="00467BD1">
              <w:rPr>
                <w:lang w:val="nl-NL"/>
              </w:rPr>
              <w:t>0% – 2</w:t>
            </w:r>
            <w:r>
              <w:rPr>
                <w:lang w:val="nl-NL"/>
              </w:rPr>
              <w:t>0</w:t>
            </w:r>
            <w:r w:rsidRPr="00467BD1">
              <w:rPr>
                <w:lang w:val="nl-NL"/>
              </w:rPr>
              <w:t>%</w:t>
            </w:r>
          </w:p>
        </w:tc>
      </w:tr>
    </w:tbl>
    <w:p w14:paraId="3E820E4B" w14:textId="77777777" w:rsidR="008A791D" w:rsidRDefault="008A791D" w:rsidP="00451E81">
      <w:pPr>
        <w:rPr>
          <w:lang w:val="nl-NL"/>
        </w:rPr>
      </w:pPr>
    </w:p>
    <w:p w14:paraId="4B1EFEF7" w14:textId="09596FBA" w:rsidR="0043207B" w:rsidRDefault="0043207B" w:rsidP="00451E81">
      <w:pPr>
        <w:rPr>
          <w:lang w:val="nl-NL"/>
        </w:rPr>
      </w:pPr>
      <w:r>
        <w:rPr>
          <w:i/>
          <w:iCs/>
          <w:lang w:val="nl-NL"/>
        </w:rPr>
        <w:t>Investment Grade B</w:t>
      </w:r>
      <w:r w:rsidRPr="00C6025F">
        <w:rPr>
          <w:i/>
          <w:iCs/>
          <w:lang w:val="nl-NL"/>
        </w:rPr>
        <w:t>edrijfsobligaties</w:t>
      </w:r>
      <w:r>
        <w:rPr>
          <w:i/>
          <w:iCs/>
          <w:lang w:val="nl-NL"/>
        </w:rPr>
        <w:br/>
      </w:r>
      <w:r w:rsidR="00D93804" w:rsidRPr="00D93804">
        <w:rPr>
          <w:lang w:val="nl-NL"/>
        </w:rPr>
        <w:t xml:space="preserve">In 2019 is er begonnen met de start van het intern beheerde investment grade bedrijfsobligaties (credits) mandaat. Er is gekozen om te beginnen met de hoogste ratings binnen deze categorie (A/A2 en hoger), enerzijds om deze manier </w:t>
      </w:r>
      <w:r w:rsidR="00D93804" w:rsidRPr="00D93804">
        <w:rPr>
          <w:rFonts w:hint="cs"/>
          <w:lang w:val="nl-NL"/>
        </w:rPr>
        <w:t>‘</w:t>
      </w:r>
      <w:r w:rsidR="00D93804" w:rsidRPr="00D93804">
        <w:rPr>
          <w:lang w:val="nl-NL"/>
        </w:rPr>
        <w:t>veilig</w:t>
      </w:r>
      <w:r w:rsidR="00D93804" w:rsidRPr="00D93804">
        <w:rPr>
          <w:rFonts w:hint="cs"/>
          <w:lang w:val="nl-NL"/>
        </w:rPr>
        <w:t>’</w:t>
      </w:r>
      <w:r w:rsidR="00D93804" w:rsidRPr="00D93804">
        <w:rPr>
          <w:lang w:val="nl-NL"/>
        </w:rPr>
        <w:t xml:space="preserve"> een goede portefeuille te kunnen opbouwen. Anderzijds zijn deze bedrijven beter bestand</w:t>
      </w:r>
      <w:r w:rsidR="006C4E2E">
        <w:rPr>
          <w:lang w:val="nl-NL"/>
        </w:rPr>
        <w:t xml:space="preserve"> in onzekere tijden wa</w:t>
      </w:r>
      <w:r w:rsidR="00C92ACF">
        <w:rPr>
          <w:lang w:val="nl-NL"/>
        </w:rPr>
        <w:t>arbij</w:t>
      </w:r>
      <w:r w:rsidR="006C4E2E">
        <w:rPr>
          <w:lang w:val="nl-NL"/>
        </w:rPr>
        <w:t xml:space="preserve"> </w:t>
      </w:r>
      <w:r w:rsidR="00D93804" w:rsidRPr="00D93804">
        <w:rPr>
          <w:lang w:val="nl-NL"/>
        </w:rPr>
        <w:t xml:space="preserve"> credit spreads</w:t>
      </w:r>
      <w:r w:rsidR="006C4E2E">
        <w:rPr>
          <w:lang w:val="nl-NL"/>
        </w:rPr>
        <w:t xml:space="preserve"> uitlopen</w:t>
      </w:r>
      <w:r w:rsidR="00D93804" w:rsidRPr="00D93804">
        <w:rPr>
          <w:lang w:val="nl-NL"/>
        </w:rPr>
        <w:t>. Het voordeel van een actieve benadering voor deze categorie is dat bedrijven met veel schulden niet (automatisch) worden overwogen wat veelal het geval is bij een benchmark. Daarnaast kunnen bedrijven met slechte vooruitzichten en die cyclisch zijn geheel of gedeeltelijk worden uitgesloten.</w:t>
      </w:r>
    </w:p>
    <w:p w14:paraId="1357C046" w14:textId="77777777" w:rsidR="00D93804" w:rsidRDefault="00D93804" w:rsidP="00451E81">
      <w:pPr>
        <w:rPr>
          <w:lang w:val="nl-NL"/>
        </w:rPr>
      </w:pPr>
    </w:p>
    <w:p w14:paraId="1101B82E" w14:textId="7E9130DC" w:rsidR="00D93804" w:rsidRPr="00535920" w:rsidRDefault="00535920" w:rsidP="00451E81">
      <w:pPr>
        <w:rPr>
          <w:lang w:val="nl-NL"/>
        </w:rPr>
      </w:pPr>
      <w:r w:rsidRPr="00C6025F">
        <w:rPr>
          <w:i/>
          <w:iCs/>
          <w:lang w:val="nl-NL"/>
        </w:rPr>
        <w:t>High Yield bedrijfsobligaties</w:t>
      </w:r>
      <w:r w:rsidRPr="00C6025F">
        <w:rPr>
          <w:i/>
          <w:iCs/>
          <w:lang w:val="nl-NL"/>
        </w:rPr>
        <w:br/>
      </w:r>
      <w:r w:rsidR="007661F1" w:rsidRPr="007661F1">
        <w:rPr>
          <w:lang w:val="nl-NL"/>
        </w:rPr>
        <w:t>In oktober 2022 zijn de high yield ETFs verkocht, waarbij de opbrengsten door de externe manager actief zijn belegd d.m.v. een discretionair mandaat in high yield bedrijfsobligaties wereldwijd</w:t>
      </w:r>
      <w:r w:rsidR="002D3B44">
        <w:rPr>
          <w:lang w:val="nl-NL"/>
        </w:rPr>
        <w:t>, inclusief Opkomende markten</w:t>
      </w:r>
      <w:r w:rsidR="007661F1" w:rsidRPr="007661F1">
        <w:rPr>
          <w:lang w:val="nl-NL"/>
        </w:rPr>
        <w:t>.</w:t>
      </w:r>
    </w:p>
    <w:p w14:paraId="44FF3924" w14:textId="77777777" w:rsidR="009442D1" w:rsidRPr="009442D1" w:rsidRDefault="009442D1" w:rsidP="009442D1">
      <w:pPr>
        <w:pStyle w:val="Kop2"/>
        <w:rPr>
          <w:rFonts w:hint="eastAsia"/>
          <w:lang w:val="nl-NL"/>
        </w:rPr>
      </w:pPr>
      <w:bookmarkStart w:id="55" w:name="_Toc231804777"/>
      <w:r w:rsidRPr="009442D1">
        <w:rPr>
          <w:lang w:val="nl-NL"/>
        </w:rPr>
        <w:t>Risiconorm</w:t>
      </w:r>
      <w:bookmarkEnd w:id="55"/>
    </w:p>
    <w:p w14:paraId="0E3FF558" w14:textId="77777777" w:rsidR="009442D1" w:rsidRDefault="009442D1" w:rsidP="009442D1">
      <w:pPr>
        <w:rPr>
          <w:lang w:val="nl-NL"/>
        </w:rPr>
      </w:pPr>
    </w:p>
    <w:p w14:paraId="61BA1B93" w14:textId="471FF9AD" w:rsidR="00E71D8E" w:rsidRDefault="00737202">
      <w:pPr>
        <w:rPr>
          <w:lang w:val="nl-NL"/>
        </w:rPr>
      </w:pPr>
      <w:r w:rsidRPr="00737202">
        <w:rPr>
          <w:lang w:val="nl-NL"/>
        </w:rPr>
        <w:t xml:space="preserve">Het beleggingsbeleid wordt gestuurd aan de hand van strategische gewichten en </w:t>
      </w:r>
      <w:r w:rsidR="005173EE">
        <w:rPr>
          <w:lang w:val="nl-NL"/>
        </w:rPr>
        <w:t>de bandbreedte van 1</w:t>
      </w:r>
      <w:r w:rsidR="00F50D3A">
        <w:rPr>
          <w:lang w:val="nl-NL"/>
        </w:rPr>
        <w:t>0</w:t>
      </w:r>
      <w:r w:rsidR="00487CDE">
        <w:rPr>
          <w:lang w:val="nl-NL"/>
        </w:rPr>
        <w:t>%</w:t>
      </w:r>
      <w:r w:rsidR="005173EE">
        <w:rPr>
          <w:lang w:val="nl-NL"/>
        </w:rPr>
        <w:t xml:space="preserve">-23% voor het VEV. </w:t>
      </w:r>
    </w:p>
    <w:p w14:paraId="575049C2" w14:textId="77777777" w:rsidR="009442D1" w:rsidRPr="009442D1" w:rsidRDefault="009442D1" w:rsidP="009442D1">
      <w:pPr>
        <w:pStyle w:val="Kop2"/>
        <w:rPr>
          <w:rFonts w:hint="eastAsia"/>
          <w:lang w:val="nl-NL"/>
        </w:rPr>
      </w:pPr>
      <w:bookmarkStart w:id="56" w:name="_Toc231804778"/>
      <w:r w:rsidRPr="009442D1">
        <w:rPr>
          <w:lang w:val="nl-NL"/>
        </w:rPr>
        <w:t>Risicobeheersingsmaatregelen</w:t>
      </w:r>
      <w:bookmarkEnd w:id="56"/>
    </w:p>
    <w:p w14:paraId="3E2A88C5" w14:textId="77777777" w:rsidR="009442D1" w:rsidRPr="009442D1" w:rsidRDefault="009442D1" w:rsidP="009442D1">
      <w:pPr>
        <w:pStyle w:val="Kop3"/>
        <w:spacing w:after="240"/>
        <w:rPr>
          <w:rFonts w:hint="eastAsia"/>
          <w:lang w:val="nl-NL"/>
        </w:rPr>
      </w:pPr>
      <w:bookmarkStart w:id="57" w:name="_Toc231804779"/>
      <w:r w:rsidRPr="009442D1">
        <w:rPr>
          <w:lang w:val="nl-NL"/>
        </w:rPr>
        <w:t>Afdekking van het renterisico</w:t>
      </w:r>
      <w:bookmarkEnd w:id="57"/>
    </w:p>
    <w:p w14:paraId="00CDB99F" w14:textId="3008C65A" w:rsidR="009442D1" w:rsidRPr="009442D1" w:rsidRDefault="00BB4E76" w:rsidP="009442D1">
      <w:pPr>
        <w:rPr>
          <w:lang w:val="nl-NL"/>
        </w:rPr>
      </w:pPr>
      <w:r>
        <w:rPr>
          <w:lang w:val="nl-NL"/>
        </w:rPr>
        <w:t xml:space="preserve">Het streven is het niveau van de renteafdekking </w:t>
      </w:r>
      <w:r w:rsidR="00224AB7">
        <w:rPr>
          <w:lang w:val="nl-NL"/>
        </w:rPr>
        <w:t>6</w:t>
      </w:r>
      <w:r>
        <w:rPr>
          <w:lang w:val="nl-NL"/>
        </w:rPr>
        <w:t>0% van de voorziening pensioenverplichtingen (gemeten op mark</w:t>
      </w:r>
      <w:r w:rsidR="00AF21FE">
        <w:rPr>
          <w:lang w:val="nl-NL"/>
        </w:rPr>
        <w:t>trente</w:t>
      </w:r>
      <w:r>
        <w:rPr>
          <w:lang w:val="nl-NL"/>
        </w:rPr>
        <w:t>)</w:t>
      </w:r>
      <w:r w:rsidR="00E14858">
        <w:rPr>
          <w:lang w:val="nl-NL"/>
        </w:rPr>
        <w:t xml:space="preserve"> </w:t>
      </w:r>
      <w:r w:rsidR="00284B6B">
        <w:rPr>
          <w:lang w:val="nl-NL"/>
        </w:rPr>
        <w:t>te laten bedragen</w:t>
      </w:r>
      <w:r w:rsidR="00E14858">
        <w:rPr>
          <w:lang w:val="nl-NL"/>
        </w:rPr>
        <w:t>.</w:t>
      </w:r>
      <w:r w:rsidR="00E14858" w:rsidRPr="009442D1">
        <w:rPr>
          <w:lang w:val="nl-NL"/>
        </w:rPr>
        <w:t xml:space="preserve"> </w:t>
      </w:r>
      <w:r w:rsidR="009442D1" w:rsidRPr="009442D1">
        <w:rPr>
          <w:lang w:val="nl-NL"/>
        </w:rPr>
        <w:t xml:space="preserve"> Rapportage en analyse van het rentehedgeniveau</w:t>
      </w:r>
      <w:r w:rsidR="00BC52BF">
        <w:rPr>
          <w:lang w:val="nl-NL"/>
        </w:rPr>
        <w:t xml:space="preserve"> maken</w:t>
      </w:r>
      <w:r w:rsidR="009442D1" w:rsidRPr="009442D1">
        <w:rPr>
          <w:lang w:val="nl-NL"/>
        </w:rPr>
        <w:t xml:space="preserve"> onderdeel uit van de maandelijkse financiële risicorapportage.</w:t>
      </w:r>
    </w:p>
    <w:p w14:paraId="6F56CA3F" w14:textId="77777777" w:rsidR="009442D1" w:rsidRPr="009442D1" w:rsidRDefault="009442D1" w:rsidP="009442D1">
      <w:pPr>
        <w:rPr>
          <w:lang w:val="nl-NL"/>
        </w:rPr>
      </w:pPr>
    </w:p>
    <w:p w14:paraId="6F99C9A6" w14:textId="77777777" w:rsidR="009442D1" w:rsidRPr="009442D1" w:rsidRDefault="009442D1" w:rsidP="009442D1">
      <w:pPr>
        <w:rPr>
          <w:lang w:val="nl-NL"/>
        </w:rPr>
      </w:pPr>
      <w:r w:rsidRPr="009442D1">
        <w:rPr>
          <w:lang w:val="nl-NL"/>
        </w:rPr>
        <w:t xml:space="preserve">De verplichtingen worden berekend op basis van de RTS zoals gepubliceerd door DNB. De afdekking vindt plaats door </w:t>
      </w:r>
      <w:r w:rsidR="001D4DD9">
        <w:rPr>
          <w:lang w:val="nl-NL"/>
        </w:rPr>
        <w:t xml:space="preserve">middel van </w:t>
      </w:r>
      <w:r w:rsidRPr="009442D1">
        <w:rPr>
          <w:lang w:val="nl-NL"/>
        </w:rPr>
        <w:t>de matching portefeuille</w:t>
      </w:r>
      <w:r>
        <w:rPr>
          <w:lang w:val="nl-NL"/>
        </w:rPr>
        <w:t xml:space="preserve">. </w:t>
      </w:r>
      <w:r w:rsidRPr="009442D1">
        <w:rPr>
          <w:lang w:val="nl-NL"/>
        </w:rPr>
        <w:t>De matching portefeuille bestaat uit:</w:t>
      </w:r>
    </w:p>
    <w:p w14:paraId="5A51A2F1" w14:textId="14858EBD" w:rsidR="00E14858" w:rsidRDefault="001B09DC" w:rsidP="001E699B">
      <w:pPr>
        <w:pStyle w:val="Lijstalinea"/>
        <w:numPr>
          <w:ilvl w:val="0"/>
          <w:numId w:val="23"/>
        </w:numPr>
        <w:rPr>
          <w:lang w:val="nl-NL"/>
        </w:rPr>
      </w:pPr>
      <w:r w:rsidRPr="00E14858">
        <w:rPr>
          <w:lang w:val="nl-NL"/>
        </w:rPr>
        <w:t>S</w:t>
      </w:r>
      <w:r w:rsidR="009442D1" w:rsidRPr="00E14858">
        <w:rPr>
          <w:lang w:val="nl-NL"/>
        </w:rPr>
        <w:t>taatsleningen (minimaal AA-</w:t>
      </w:r>
      <w:r w:rsidR="00DE1F4E">
        <w:rPr>
          <w:lang w:val="nl-NL"/>
        </w:rPr>
        <w:t>/Aa3</w:t>
      </w:r>
      <w:r w:rsidR="009442D1" w:rsidRPr="00E14858">
        <w:rPr>
          <w:lang w:val="nl-NL"/>
        </w:rPr>
        <w:t>)</w:t>
      </w:r>
      <w:r w:rsidRPr="00E14858">
        <w:rPr>
          <w:lang w:val="nl-NL"/>
        </w:rPr>
        <w:t>.</w:t>
      </w:r>
      <w:r w:rsidR="00E14858" w:rsidRPr="00E14858">
        <w:rPr>
          <w:lang w:val="nl-NL"/>
        </w:rPr>
        <w:t xml:space="preserve"> </w:t>
      </w:r>
    </w:p>
    <w:p w14:paraId="6C3FD76E" w14:textId="1E005428" w:rsidR="00E14858" w:rsidRPr="009442D1" w:rsidRDefault="00E14858" w:rsidP="001E699B">
      <w:pPr>
        <w:pStyle w:val="Lijstalinea"/>
        <w:numPr>
          <w:ilvl w:val="0"/>
          <w:numId w:val="23"/>
        </w:numPr>
        <w:rPr>
          <w:lang w:val="nl-NL"/>
        </w:rPr>
      </w:pPr>
      <w:r>
        <w:rPr>
          <w:lang w:val="nl-NL"/>
        </w:rPr>
        <w:t>Supra-nationale instellingen/ semi-overheden/agentschappen (minimaal AA-</w:t>
      </w:r>
      <w:r w:rsidR="00DE1F4E">
        <w:rPr>
          <w:lang w:val="nl-NL"/>
        </w:rPr>
        <w:t>/Aa3</w:t>
      </w:r>
      <w:r>
        <w:rPr>
          <w:lang w:val="nl-NL"/>
        </w:rPr>
        <w:t>)</w:t>
      </w:r>
    </w:p>
    <w:p w14:paraId="32B1B2BD" w14:textId="49B83905" w:rsidR="009442D1" w:rsidRPr="00E14858" w:rsidRDefault="001B09DC" w:rsidP="001E699B">
      <w:pPr>
        <w:pStyle w:val="Lijstalinea"/>
        <w:numPr>
          <w:ilvl w:val="0"/>
          <w:numId w:val="23"/>
        </w:numPr>
        <w:rPr>
          <w:lang w:val="nl-NL"/>
        </w:rPr>
      </w:pPr>
      <w:r w:rsidRPr="00E14858">
        <w:rPr>
          <w:lang w:val="nl-NL"/>
        </w:rPr>
        <w:t>C</w:t>
      </w:r>
      <w:r w:rsidR="009442D1" w:rsidRPr="00E14858">
        <w:rPr>
          <w:lang w:val="nl-NL"/>
        </w:rPr>
        <w:t>overed bonds (minimaal AAA)</w:t>
      </w:r>
      <w:r w:rsidR="00DE1F4E">
        <w:rPr>
          <w:lang w:val="nl-NL"/>
        </w:rPr>
        <w:t>, waarbij l</w:t>
      </w:r>
      <w:r w:rsidR="00DE1F4E" w:rsidRPr="00A01686">
        <w:rPr>
          <w:lang w:val="nl-NL"/>
        </w:rPr>
        <w:t>andenrating covered bond debiteur min. AA-/AA3.</w:t>
      </w:r>
    </w:p>
    <w:p w14:paraId="0F9CD411" w14:textId="77777777" w:rsidR="002D5424" w:rsidRDefault="00E14858" w:rsidP="001E699B">
      <w:pPr>
        <w:pStyle w:val="Lijstalinea"/>
        <w:numPr>
          <w:ilvl w:val="0"/>
          <w:numId w:val="23"/>
        </w:numPr>
        <w:rPr>
          <w:lang w:val="nl-NL"/>
        </w:rPr>
      </w:pPr>
      <w:r>
        <w:rPr>
          <w:lang w:val="nl-NL"/>
        </w:rPr>
        <w:t>R</w:t>
      </w:r>
      <w:r w:rsidR="009442D1" w:rsidRPr="009442D1">
        <w:rPr>
          <w:lang w:val="nl-NL"/>
        </w:rPr>
        <w:t>entederivaten</w:t>
      </w:r>
      <w:r w:rsidR="00DB4B32">
        <w:rPr>
          <w:lang w:val="nl-NL"/>
        </w:rPr>
        <w:t xml:space="preserve"> (centraal gecleared</w:t>
      </w:r>
      <w:r w:rsidR="00BB4E76">
        <w:rPr>
          <w:lang w:val="nl-NL"/>
        </w:rPr>
        <w:t xml:space="preserve"> bij Eurex</w:t>
      </w:r>
      <w:r w:rsidR="00DB4B32">
        <w:rPr>
          <w:lang w:val="nl-NL"/>
        </w:rPr>
        <w:t>)</w:t>
      </w:r>
      <w:r w:rsidR="009442D1">
        <w:rPr>
          <w:lang w:val="nl-NL"/>
        </w:rPr>
        <w:t>.</w:t>
      </w:r>
    </w:p>
    <w:p w14:paraId="618BBE2C" w14:textId="70DFBBAA" w:rsidR="009442D1" w:rsidRPr="009442D1" w:rsidRDefault="00AF21FE" w:rsidP="001E699B">
      <w:pPr>
        <w:pStyle w:val="Lijstalinea"/>
        <w:numPr>
          <w:ilvl w:val="0"/>
          <w:numId w:val="23"/>
        </w:numPr>
        <w:rPr>
          <w:lang w:val="nl-NL"/>
        </w:rPr>
      </w:pPr>
      <w:r>
        <w:rPr>
          <w:lang w:val="nl-NL"/>
        </w:rPr>
        <w:t>Woningh</w:t>
      </w:r>
      <w:r w:rsidR="002D5424">
        <w:rPr>
          <w:lang w:val="nl-NL"/>
        </w:rPr>
        <w:t>ypotheken</w:t>
      </w:r>
    </w:p>
    <w:p w14:paraId="2B8DBBAC" w14:textId="4A6736C0" w:rsidR="001C4751" w:rsidRPr="001C4751" w:rsidRDefault="001C4751" w:rsidP="001C4751">
      <w:pPr>
        <w:jc w:val="both"/>
        <w:rPr>
          <w:i/>
          <w:szCs w:val="20"/>
          <w:u w:val="single"/>
          <w:lang w:val="nl-NL"/>
        </w:rPr>
      </w:pPr>
      <w:r w:rsidRPr="001C4751">
        <w:rPr>
          <w:i/>
          <w:u w:val="single"/>
          <w:lang w:val="nl-NL"/>
        </w:rPr>
        <w:t>Toegestane tegenpartijen (bancaire relaties, clearing members en custody relaties)</w:t>
      </w:r>
    </w:p>
    <w:p w14:paraId="776584FB" w14:textId="3B1E0DEE" w:rsidR="001C4751" w:rsidRDefault="00EF685F" w:rsidP="001C4751">
      <w:pPr>
        <w:jc w:val="both"/>
        <w:rPr>
          <w:sz w:val="22"/>
          <w:lang w:val="nl-NL"/>
        </w:rPr>
      </w:pPr>
      <w:r>
        <w:rPr>
          <w:lang w:val="nl-NL"/>
        </w:rPr>
        <w:t>Het fonds</w:t>
      </w:r>
      <w:r w:rsidR="001C4751" w:rsidRPr="00BE1489">
        <w:rPr>
          <w:lang w:val="nl-NL"/>
        </w:rPr>
        <w:t xml:space="preserve"> hanteert als richtlijn voor bancaire relaties (rekeningen,</w:t>
      </w:r>
      <w:r w:rsidR="009101FA">
        <w:rPr>
          <w:lang w:val="nl-NL"/>
        </w:rPr>
        <w:t xml:space="preserve"> transacties,</w:t>
      </w:r>
      <w:r w:rsidR="001C4751" w:rsidRPr="00BE1489">
        <w:rPr>
          <w:lang w:val="nl-NL"/>
        </w:rPr>
        <w:t xml:space="preserve"> repo’s en deposito’s), clearing members en custody relaties:</w:t>
      </w:r>
    </w:p>
    <w:p w14:paraId="0CAB86AD" w14:textId="77777777" w:rsidR="001C4751" w:rsidRPr="001C4751" w:rsidRDefault="001C4751" w:rsidP="001E699B">
      <w:pPr>
        <w:pStyle w:val="Lijstalinea"/>
        <w:numPr>
          <w:ilvl w:val="1"/>
          <w:numId w:val="47"/>
        </w:numPr>
        <w:ind w:left="714" w:hanging="357"/>
        <w:jc w:val="both"/>
        <w:rPr>
          <w:lang w:val="nl-NL"/>
        </w:rPr>
      </w:pPr>
      <w:r w:rsidRPr="001C4751">
        <w:rPr>
          <w:lang w:val="nl-NL"/>
        </w:rPr>
        <w:t>Tegenpartij heeft een minimale lange termijn rating van A2/A bij alle van de drie rating agencies (Moody’s, S&amp;P en Fitch) en een korte termijn rating van minimaal P1/A1/F1.</w:t>
      </w:r>
    </w:p>
    <w:p w14:paraId="2B5A4722" w14:textId="77777777" w:rsidR="001C4751" w:rsidRPr="001C4751" w:rsidRDefault="001C4751" w:rsidP="001E699B">
      <w:pPr>
        <w:pStyle w:val="Lijstalinea"/>
        <w:numPr>
          <w:ilvl w:val="1"/>
          <w:numId w:val="47"/>
        </w:numPr>
        <w:ind w:left="714" w:hanging="357"/>
        <w:jc w:val="both"/>
        <w:rPr>
          <w:lang w:val="nl-NL"/>
        </w:rPr>
      </w:pPr>
      <w:r w:rsidRPr="001C4751">
        <w:rPr>
          <w:lang w:val="nl-NL"/>
        </w:rPr>
        <w:t>Tegenpartij is bij voorkeur een (Global) SIFI (Systemically Important Financial Institution)</w:t>
      </w:r>
    </w:p>
    <w:p w14:paraId="0E817E81" w14:textId="77777777" w:rsidR="001C4751" w:rsidRDefault="001C4751" w:rsidP="001C4751">
      <w:pPr>
        <w:jc w:val="both"/>
        <w:rPr>
          <w:lang w:val="nl-NL"/>
        </w:rPr>
      </w:pPr>
    </w:p>
    <w:p w14:paraId="7095499F" w14:textId="71D9B65C" w:rsidR="009442D1" w:rsidRDefault="009442D1" w:rsidP="009442D1">
      <w:pPr>
        <w:rPr>
          <w:lang w:val="nl-NL"/>
        </w:rPr>
      </w:pPr>
      <w:r w:rsidRPr="009442D1">
        <w:rPr>
          <w:lang w:val="nl-NL"/>
        </w:rPr>
        <w:t xml:space="preserve">Partijen die niet aan de (rating) criteria voldoen kunnen uitsluitend op basis van een expliciete goedkeuring van het bestuur worden geaccepteerd om als bancaire tegenpartij of custodyrelatie te kunnen optreden. </w:t>
      </w:r>
    </w:p>
    <w:p w14:paraId="2A364842" w14:textId="77777777" w:rsidR="00795D82" w:rsidRPr="009442D1" w:rsidRDefault="00795D82" w:rsidP="009442D1">
      <w:pPr>
        <w:rPr>
          <w:lang w:val="nl-NL"/>
        </w:rPr>
      </w:pPr>
    </w:p>
    <w:p w14:paraId="7F7ECA3D" w14:textId="77777777" w:rsidR="009442D1" w:rsidRPr="009442D1" w:rsidRDefault="009442D1" w:rsidP="00795D82">
      <w:pPr>
        <w:pStyle w:val="Kop3"/>
        <w:spacing w:after="240"/>
        <w:rPr>
          <w:rFonts w:hint="eastAsia"/>
          <w:lang w:val="nl-NL"/>
        </w:rPr>
      </w:pPr>
      <w:bookmarkStart w:id="58" w:name="_Toc231804780"/>
      <w:r w:rsidRPr="009442D1">
        <w:rPr>
          <w:lang w:val="nl-NL"/>
        </w:rPr>
        <w:t>Afdekking van het valutarisico</w:t>
      </w:r>
      <w:bookmarkEnd w:id="58"/>
    </w:p>
    <w:p w14:paraId="7CB90606" w14:textId="10565371" w:rsidR="00E14858" w:rsidRDefault="009442D1" w:rsidP="00E14858">
      <w:pPr>
        <w:jc w:val="both"/>
        <w:rPr>
          <w:lang w:val="nl-NL"/>
        </w:rPr>
      </w:pPr>
      <w:r w:rsidRPr="009442D1">
        <w:rPr>
          <w:lang w:val="nl-NL"/>
        </w:rPr>
        <w:t xml:space="preserve">Als gevolg van de wereldwijde spreiding komen in de return portefeuille beleggingen voor in vreemde valuta. Voor de afdekking van de valutaposities wordt gebruik gemaakt van derivaten die worden afgesloten met banken. De af te sluiten contracten met betrekking tot de valutaderivaten dienen bij voorkeur onder een overeen te komen ISDA contract met een Credit Support Annex te vallen, waardoor onderpand wordt ontvangen c.q. geleverd. Voor het (gedeeltelijk) afdekken van het valutarisico worden </w:t>
      </w:r>
      <w:r w:rsidR="00EA1AF1">
        <w:rPr>
          <w:lang w:val="nl-NL"/>
        </w:rPr>
        <w:t xml:space="preserve">minimaal </w:t>
      </w:r>
      <w:r w:rsidRPr="009442D1">
        <w:rPr>
          <w:lang w:val="nl-NL"/>
        </w:rPr>
        <w:t>één keer per kwartaal 3-maands valuta</w:t>
      </w:r>
      <w:r w:rsidR="00EA1AF1">
        <w:rPr>
          <w:lang w:val="nl-NL"/>
        </w:rPr>
        <w:t>termijncontracten</w:t>
      </w:r>
      <w:r w:rsidRPr="009442D1">
        <w:rPr>
          <w:lang w:val="nl-NL"/>
        </w:rPr>
        <w:t xml:space="preserve"> afgesloten, waarbij de afdekking van de valuta opgenomen in onderstaande tabel op 100% gesteld wordt. </w:t>
      </w:r>
      <w:r w:rsidR="0042509E">
        <w:rPr>
          <w:lang w:val="nl-NL"/>
        </w:rPr>
        <w:t xml:space="preserve">Het afdekken van vreemde valuta kan nooit volledig zijn vanwege de bewegingen van de onderliggende </w:t>
      </w:r>
      <w:r w:rsidR="00C35ACB">
        <w:rPr>
          <w:lang w:val="nl-NL"/>
        </w:rPr>
        <w:t>beleggingen</w:t>
      </w:r>
      <w:r w:rsidR="0042509E">
        <w:rPr>
          <w:lang w:val="nl-NL"/>
        </w:rPr>
        <w:t xml:space="preserve">, vandaar dat gewerkt wordt met een range. </w:t>
      </w:r>
      <w:r w:rsidRPr="009442D1">
        <w:rPr>
          <w:lang w:val="nl-NL"/>
        </w:rPr>
        <w:t xml:space="preserve">Zodra de exposure buiten de range valt, wordt de </w:t>
      </w:r>
      <w:r w:rsidR="00A3617A">
        <w:rPr>
          <w:lang w:val="nl-NL"/>
        </w:rPr>
        <w:t xml:space="preserve">hedge </w:t>
      </w:r>
      <w:r w:rsidRPr="009442D1">
        <w:rPr>
          <w:lang w:val="nl-NL"/>
        </w:rPr>
        <w:t>tussentijds bijgesteld.</w:t>
      </w:r>
      <w:r w:rsidR="00E14858">
        <w:rPr>
          <w:lang w:val="nl-NL"/>
        </w:rPr>
        <w:t xml:space="preserve"> </w:t>
      </w:r>
      <w:r w:rsidR="00E14858" w:rsidRPr="00F35D43">
        <w:rPr>
          <w:lang w:val="nl-NL"/>
        </w:rPr>
        <w:t>Het doel van de afdekking is de volatiliteit van de performance van de totale portefeuille en daarmee de dekkingsgraad te reduceren</w:t>
      </w:r>
    </w:p>
    <w:p w14:paraId="3E218431" w14:textId="0B092EFE" w:rsidR="00A01686" w:rsidRPr="00A01686" w:rsidRDefault="0042509E" w:rsidP="009442D1">
      <w:pPr>
        <w:rPr>
          <w:lang w:val="nl-NL"/>
        </w:rPr>
      </w:pPr>
      <w:r>
        <w:rPr>
          <w:lang w:val="nl-NL"/>
        </w:rPr>
        <w:br/>
        <w:t>Daarnaast is het niet altijd efficiënt en mogelijk om alle vreemde valuta af te dekken. Binnen de return portefeuille worden alleen</w:t>
      </w:r>
      <w:r w:rsidR="001B4EEE">
        <w:rPr>
          <w:lang w:val="nl-NL"/>
        </w:rPr>
        <w:t xml:space="preserve"> de kernvaluta, dat wil zeggen</w:t>
      </w:r>
      <w:r>
        <w:rPr>
          <w:lang w:val="nl-NL"/>
        </w:rPr>
        <w:t xml:space="preserve"> de grootste valuta</w:t>
      </w:r>
      <w:r w:rsidR="001B4EEE">
        <w:rPr>
          <w:lang w:val="nl-NL"/>
        </w:rPr>
        <w:t>-</w:t>
      </w:r>
      <w:r>
        <w:rPr>
          <w:lang w:val="nl-NL"/>
        </w:rPr>
        <w:t>exposures in volwassen markten</w:t>
      </w:r>
      <w:r w:rsidR="001B4EEE">
        <w:rPr>
          <w:lang w:val="nl-NL"/>
        </w:rPr>
        <w:t>,</w:t>
      </w:r>
      <w:r>
        <w:rPr>
          <w:lang w:val="nl-NL"/>
        </w:rPr>
        <w:t xml:space="preserve"> nagenoeg volledig afgedekt. Hiermee wordt ruim </w:t>
      </w:r>
      <w:r w:rsidR="00E14858">
        <w:rPr>
          <w:lang w:val="nl-NL"/>
        </w:rPr>
        <w:t>9</w:t>
      </w:r>
      <w:r>
        <w:rPr>
          <w:lang w:val="nl-NL"/>
        </w:rPr>
        <w:t xml:space="preserve">0% van de valuta exposure exclusief opkomende markten afgedekt. De keuze voor de exposure in valuta’s van opkomende markten maakt onderdeel uit van de beleggingsbeslissing en is mede </w:t>
      </w:r>
      <w:r w:rsidR="00C35ACB">
        <w:rPr>
          <w:lang w:val="nl-NL"/>
        </w:rPr>
        <w:t xml:space="preserve">gemaakt </w:t>
      </w:r>
      <w:r>
        <w:rPr>
          <w:lang w:val="nl-NL"/>
        </w:rPr>
        <w:t>in verband met efficiency en (hoge) kosten.</w:t>
      </w:r>
    </w:p>
    <w:p w14:paraId="26D9135C" w14:textId="77777777" w:rsidR="00A01686" w:rsidRPr="00A01686" w:rsidRDefault="00A01686" w:rsidP="00451E81">
      <w:pPr>
        <w:rPr>
          <w:lang w:val="nl-NL"/>
        </w:rPr>
      </w:pPr>
    </w:p>
    <w:tbl>
      <w:tblPr>
        <w:tblStyle w:val="Tabelraster"/>
        <w:tblW w:w="0" w:type="auto"/>
        <w:tblBorders>
          <w:top w:val="single" w:sz="4" w:space="0" w:color="00AFD2" w:themeColor="accent1"/>
          <w:left w:val="single" w:sz="4" w:space="0" w:color="00AFD2" w:themeColor="accent1"/>
          <w:bottom w:val="single" w:sz="4" w:space="0" w:color="00AFD2" w:themeColor="accent1"/>
          <w:right w:val="single" w:sz="4" w:space="0" w:color="00AFD2" w:themeColor="accent1"/>
          <w:insideH w:val="single" w:sz="4" w:space="0" w:color="00AFD2" w:themeColor="accent1"/>
          <w:insideV w:val="single" w:sz="4" w:space="0" w:color="00AFD2" w:themeColor="accent1"/>
        </w:tblBorders>
        <w:tblLook w:val="04A0" w:firstRow="1" w:lastRow="0" w:firstColumn="1" w:lastColumn="0" w:noHBand="0" w:noVBand="1"/>
      </w:tblPr>
      <w:tblGrid>
        <w:gridCol w:w="1101"/>
        <w:gridCol w:w="2126"/>
        <w:gridCol w:w="2126"/>
      </w:tblGrid>
      <w:tr w:rsidR="00EA1AF1" w:rsidRPr="00795D82" w14:paraId="4AF69F6D" w14:textId="77777777" w:rsidTr="00F5449C">
        <w:tc>
          <w:tcPr>
            <w:tcW w:w="1101" w:type="dxa"/>
            <w:shd w:val="clear" w:color="auto" w:fill="00AFD2" w:themeFill="accent1"/>
          </w:tcPr>
          <w:p w14:paraId="70C875CE" w14:textId="77777777" w:rsidR="00EA1AF1" w:rsidRPr="00795D82" w:rsidRDefault="00EA1AF1" w:rsidP="00795D82">
            <w:pPr>
              <w:spacing w:before="20" w:after="20"/>
              <w:rPr>
                <w:b/>
                <w:color w:val="FFFFFF" w:themeColor="background1"/>
                <w:lang w:val="en-GB"/>
              </w:rPr>
            </w:pPr>
            <w:r w:rsidRPr="00795D82">
              <w:rPr>
                <w:b/>
                <w:color w:val="FFFFFF" w:themeColor="background1"/>
                <w:lang w:val="en-GB"/>
              </w:rPr>
              <w:t>Valuta</w:t>
            </w:r>
          </w:p>
        </w:tc>
        <w:tc>
          <w:tcPr>
            <w:tcW w:w="2126" w:type="dxa"/>
            <w:shd w:val="clear" w:color="auto" w:fill="00AFD2" w:themeFill="accent1"/>
          </w:tcPr>
          <w:p w14:paraId="555C4151" w14:textId="77777777" w:rsidR="00EA1AF1" w:rsidRPr="00795D82" w:rsidRDefault="00EA1AF1" w:rsidP="00EA1AF1">
            <w:pPr>
              <w:spacing w:before="20" w:after="20"/>
              <w:jc w:val="center"/>
              <w:rPr>
                <w:b/>
                <w:color w:val="FFFFFF" w:themeColor="background1"/>
                <w:lang w:val="en-GB"/>
              </w:rPr>
            </w:pPr>
            <w:r>
              <w:rPr>
                <w:b/>
                <w:color w:val="FFFFFF" w:themeColor="background1"/>
                <w:lang w:val="en-GB"/>
              </w:rPr>
              <w:t>norm (soft)</w:t>
            </w:r>
          </w:p>
        </w:tc>
        <w:tc>
          <w:tcPr>
            <w:tcW w:w="2126" w:type="dxa"/>
            <w:shd w:val="clear" w:color="auto" w:fill="00AFD2" w:themeFill="accent1"/>
          </w:tcPr>
          <w:p w14:paraId="4F42A667" w14:textId="77777777" w:rsidR="00EA1AF1" w:rsidRPr="00795D82" w:rsidRDefault="00EA1AF1" w:rsidP="00EA1AF1">
            <w:pPr>
              <w:spacing w:before="20" w:after="20"/>
              <w:jc w:val="center"/>
              <w:rPr>
                <w:b/>
                <w:color w:val="FFFFFF" w:themeColor="background1"/>
                <w:lang w:val="en-GB"/>
              </w:rPr>
            </w:pPr>
            <w:r>
              <w:rPr>
                <w:b/>
                <w:color w:val="FFFFFF" w:themeColor="background1"/>
                <w:lang w:val="en-GB"/>
              </w:rPr>
              <w:t>r</w:t>
            </w:r>
            <w:r w:rsidRPr="00795D82">
              <w:rPr>
                <w:b/>
                <w:color w:val="FFFFFF" w:themeColor="background1"/>
                <w:lang w:val="en-GB"/>
              </w:rPr>
              <w:t>ange</w:t>
            </w:r>
            <w:r>
              <w:rPr>
                <w:b/>
                <w:color w:val="FFFFFF" w:themeColor="background1"/>
                <w:lang w:val="en-GB"/>
              </w:rPr>
              <w:t xml:space="preserve"> (hard)</w:t>
            </w:r>
          </w:p>
        </w:tc>
      </w:tr>
      <w:tr w:rsidR="00EA1AF1" w:rsidRPr="00795D82" w14:paraId="1642CC8C" w14:textId="77777777" w:rsidTr="00F5449C">
        <w:tc>
          <w:tcPr>
            <w:tcW w:w="1101" w:type="dxa"/>
          </w:tcPr>
          <w:p w14:paraId="724EE28D" w14:textId="77777777" w:rsidR="00EA1AF1" w:rsidRPr="00795D82" w:rsidRDefault="00EA1AF1" w:rsidP="00C35ACB">
            <w:pPr>
              <w:spacing w:before="20" w:after="20"/>
              <w:rPr>
                <w:b/>
                <w:lang w:val="en-GB"/>
              </w:rPr>
            </w:pPr>
            <w:r w:rsidRPr="00795D82">
              <w:rPr>
                <w:b/>
                <w:lang w:val="en-GB"/>
              </w:rPr>
              <w:t>US</w:t>
            </w:r>
            <w:r w:rsidR="00C35ACB">
              <w:rPr>
                <w:b/>
                <w:lang w:val="en-GB"/>
              </w:rPr>
              <w:t>D</w:t>
            </w:r>
          </w:p>
        </w:tc>
        <w:tc>
          <w:tcPr>
            <w:tcW w:w="2126" w:type="dxa"/>
          </w:tcPr>
          <w:p w14:paraId="57561FC6" w14:textId="77777777" w:rsidR="00EA1AF1" w:rsidRPr="00795D82" w:rsidRDefault="00EA1AF1" w:rsidP="00795D82">
            <w:pPr>
              <w:spacing w:before="20" w:after="20"/>
              <w:jc w:val="center"/>
              <w:rPr>
                <w:lang w:val="en-GB"/>
              </w:rPr>
            </w:pPr>
            <w:r>
              <w:rPr>
                <w:lang w:val="en-GB"/>
              </w:rPr>
              <w:t>100%</w:t>
            </w:r>
          </w:p>
        </w:tc>
        <w:tc>
          <w:tcPr>
            <w:tcW w:w="2126" w:type="dxa"/>
          </w:tcPr>
          <w:p w14:paraId="1E0DE625" w14:textId="5677F7CB" w:rsidR="00EA1AF1" w:rsidRPr="00795D82" w:rsidRDefault="00E14858" w:rsidP="00795D82">
            <w:pPr>
              <w:spacing w:before="20" w:after="20"/>
              <w:jc w:val="center"/>
              <w:rPr>
                <w:lang w:val="en-GB"/>
              </w:rPr>
            </w:pPr>
            <w:r>
              <w:rPr>
                <w:lang w:val="en-GB"/>
              </w:rPr>
              <w:t>5</w:t>
            </w:r>
            <w:r w:rsidR="00EA1AF1" w:rsidRPr="00795D82">
              <w:rPr>
                <w:lang w:val="en-GB"/>
              </w:rPr>
              <w:t>0%-110%</w:t>
            </w:r>
          </w:p>
        </w:tc>
      </w:tr>
      <w:tr w:rsidR="00EA1AF1" w:rsidRPr="00795D82" w14:paraId="270BF2C9" w14:textId="77777777" w:rsidTr="00F5449C">
        <w:tc>
          <w:tcPr>
            <w:tcW w:w="1101" w:type="dxa"/>
          </w:tcPr>
          <w:p w14:paraId="1BADC5B1" w14:textId="77777777" w:rsidR="00EA1AF1" w:rsidRPr="00795D82" w:rsidRDefault="00EA1AF1" w:rsidP="00795D82">
            <w:pPr>
              <w:spacing w:before="20" w:after="20"/>
              <w:rPr>
                <w:b/>
                <w:lang w:val="en-GB"/>
              </w:rPr>
            </w:pPr>
            <w:r w:rsidRPr="00795D82">
              <w:rPr>
                <w:b/>
                <w:lang w:val="en-GB"/>
              </w:rPr>
              <w:t>JPY</w:t>
            </w:r>
          </w:p>
        </w:tc>
        <w:tc>
          <w:tcPr>
            <w:tcW w:w="2126" w:type="dxa"/>
          </w:tcPr>
          <w:p w14:paraId="7485DEEE" w14:textId="77777777" w:rsidR="00EA1AF1" w:rsidRPr="00795D82" w:rsidRDefault="00EA1AF1" w:rsidP="00795D82">
            <w:pPr>
              <w:spacing w:before="20" w:after="20"/>
              <w:jc w:val="center"/>
              <w:rPr>
                <w:lang w:val="en-GB"/>
              </w:rPr>
            </w:pPr>
            <w:r>
              <w:rPr>
                <w:lang w:val="en-GB"/>
              </w:rPr>
              <w:t>100%</w:t>
            </w:r>
          </w:p>
        </w:tc>
        <w:tc>
          <w:tcPr>
            <w:tcW w:w="2126" w:type="dxa"/>
          </w:tcPr>
          <w:p w14:paraId="4EC6432D" w14:textId="536A0202" w:rsidR="00EA1AF1" w:rsidRPr="00795D82" w:rsidRDefault="00E14858" w:rsidP="00795D82">
            <w:pPr>
              <w:spacing w:before="20" w:after="20"/>
              <w:jc w:val="center"/>
              <w:rPr>
                <w:lang w:val="en-GB"/>
              </w:rPr>
            </w:pPr>
            <w:r>
              <w:rPr>
                <w:lang w:val="en-GB"/>
              </w:rPr>
              <w:t>5</w:t>
            </w:r>
            <w:r w:rsidR="00EA1AF1" w:rsidRPr="00795D82">
              <w:rPr>
                <w:lang w:val="en-GB"/>
              </w:rPr>
              <w:t>0%-110%</w:t>
            </w:r>
          </w:p>
        </w:tc>
      </w:tr>
      <w:tr w:rsidR="00EA1AF1" w:rsidRPr="00795D82" w14:paraId="0A77469A" w14:textId="77777777" w:rsidTr="00F5449C">
        <w:tc>
          <w:tcPr>
            <w:tcW w:w="1101" w:type="dxa"/>
          </w:tcPr>
          <w:p w14:paraId="106DCFE8" w14:textId="77777777" w:rsidR="00EA1AF1" w:rsidRPr="00795D82" w:rsidRDefault="00EA1AF1" w:rsidP="00795D82">
            <w:pPr>
              <w:spacing w:before="20" w:after="20"/>
              <w:rPr>
                <w:b/>
                <w:lang w:val="en-GB"/>
              </w:rPr>
            </w:pPr>
            <w:r w:rsidRPr="00795D82">
              <w:rPr>
                <w:b/>
                <w:lang w:val="en-GB"/>
              </w:rPr>
              <w:t>GBP</w:t>
            </w:r>
          </w:p>
        </w:tc>
        <w:tc>
          <w:tcPr>
            <w:tcW w:w="2126" w:type="dxa"/>
          </w:tcPr>
          <w:p w14:paraId="5FCDA450" w14:textId="77777777" w:rsidR="00EA1AF1" w:rsidRPr="00795D82" w:rsidRDefault="00EA1AF1" w:rsidP="00795D82">
            <w:pPr>
              <w:spacing w:before="20" w:after="20"/>
              <w:jc w:val="center"/>
              <w:rPr>
                <w:lang w:val="en-GB"/>
              </w:rPr>
            </w:pPr>
            <w:r>
              <w:rPr>
                <w:lang w:val="en-GB"/>
              </w:rPr>
              <w:t>100%</w:t>
            </w:r>
          </w:p>
        </w:tc>
        <w:tc>
          <w:tcPr>
            <w:tcW w:w="2126" w:type="dxa"/>
          </w:tcPr>
          <w:p w14:paraId="6F257145" w14:textId="24DBE9B5" w:rsidR="00EA1AF1" w:rsidRPr="00795D82" w:rsidRDefault="00E14858" w:rsidP="00795D82">
            <w:pPr>
              <w:spacing w:before="20" w:after="20"/>
              <w:jc w:val="center"/>
              <w:rPr>
                <w:lang w:val="en-GB"/>
              </w:rPr>
            </w:pPr>
            <w:r>
              <w:rPr>
                <w:lang w:val="en-GB"/>
              </w:rPr>
              <w:t>5</w:t>
            </w:r>
            <w:r w:rsidR="00EA1AF1" w:rsidRPr="00795D82">
              <w:rPr>
                <w:lang w:val="en-GB"/>
              </w:rPr>
              <w:t>0%-110%</w:t>
            </w:r>
          </w:p>
        </w:tc>
      </w:tr>
      <w:tr w:rsidR="00EA1AF1" w:rsidRPr="00795D82" w14:paraId="1AC4181D" w14:textId="77777777" w:rsidTr="00F5449C">
        <w:tc>
          <w:tcPr>
            <w:tcW w:w="1101" w:type="dxa"/>
          </w:tcPr>
          <w:p w14:paraId="1CDC3007" w14:textId="77777777" w:rsidR="00EA1AF1" w:rsidRPr="00795D82" w:rsidRDefault="00EA1AF1" w:rsidP="00795D82">
            <w:pPr>
              <w:spacing w:before="20" w:after="20"/>
              <w:rPr>
                <w:b/>
                <w:lang w:val="nl-NL"/>
              </w:rPr>
            </w:pPr>
            <w:r w:rsidRPr="00795D82">
              <w:rPr>
                <w:b/>
                <w:lang w:val="nl-NL"/>
              </w:rPr>
              <w:t>CAD</w:t>
            </w:r>
          </w:p>
        </w:tc>
        <w:tc>
          <w:tcPr>
            <w:tcW w:w="2126" w:type="dxa"/>
          </w:tcPr>
          <w:p w14:paraId="462B4B38" w14:textId="77777777" w:rsidR="00EA1AF1" w:rsidRPr="00795D82" w:rsidRDefault="00EA1AF1" w:rsidP="00795D82">
            <w:pPr>
              <w:spacing w:before="20" w:after="20"/>
              <w:jc w:val="center"/>
              <w:rPr>
                <w:lang w:val="nl-NL"/>
              </w:rPr>
            </w:pPr>
            <w:r>
              <w:rPr>
                <w:lang w:val="en-GB"/>
              </w:rPr>
              <w:t>100%</w:t>
            </w:r>
          </w:p>
        </w:tc>
        <w:tc>
          <w:tcPr>
            <w:tcW w:w="2126" w:type="dxa"/>
          </w:tcPr>
          <w:p w14:paraId="05F1728C" w14:textId="23A19C92" w:rsidR="00EA1AF1" w:rsidRPr="00795D82" w:rsidRDefault="00E14858" w:rsidP="00795D82">
            <w:pPr>
              <w:spacing w:before="20" w:after="20"/>
              <w:jc w:val="center"/>
              <w:rPr>
                <w:lang w:val="nl-NL"/>
              </w:rPr>
            </w:pPr>
            <w:r>
              <w:rPr>
                <w:lang w:val="nl-NL"/>
              </w:rPr>
              <w:t>5</w:t>
            </w:r>
            <w:r w:rsidR="00EA1AF1" w:rsidRPr="00795D82">
              <w:rPr>
                <w:lang w:val="nl-NL"/>
              </w:rPr>
              <w:t>0%-110%</w:t>
            </w:r>
          </w:p>
        </w:tc>
      </w:tr>
      <w:tr w:rsidR="00EA1AF1" w:rsidRPr="00795D82" w14:paraId="121A008C" w14:textId="77777777" w:rsidTr="00F5449C">
        <w:tc>
          <w:tcPr>
            <w:tcW w:w="1101" w:type="dxa"/>
          </w:tcPr>
          <w:p w14:paraId="6FDDCD4D" w14:textId="77777777" w:rsidR="00EA1AF1" w:rsidRPr="00795D82" w:rsidRDefault="00EA1AF1" w:rsidP="00795D82">
            <w:pPr>
              <w:spacing w:before="20" w:after="20"/>
              <w:rPr>
                <w:b/>
                <w:lang w:val="nl-NL"/>
              </w:rPr>
            </w:pPr>
            <w:r w:rsidRPr="00795D82">
              <w:rPr>
                <w:b/>
                <w:lang w:val="nl-NL"/>
              </w:rPr>
              <w:t>AUD</w:t>
            </w:r>
          </w:p>
        </w:tc>
        <w:tc>
          <w:tcPr>
            <w:tcW w:w="2126" w:type="dxa"/>
          </w:tcPr>
          <w:p w14:paraId="2B19E8BA" w14:textId="77777777" w:rsidR="00EA1AF1" w:rsidRPr="00795D82" w:rsidRDefault="00EA1AF1" w:rsidP="00795D82">
            <w:pPr>
              <w:spacing w:before="20" w:after="20"/>
              <w:jc w:val="center"/>
              <w:rPr>
                <w:lang w:val="nl-NL"/>
              </w:rPr>
            </w:pPr>
            <w:r>
              <w:rPr>
                <w:lang w:val="en-GB"/>
              </w:rPr>
              <w:t>100%</w:t>
            </w:r>
          </w:p>
        </w:tc>
        <w:tc>
          <w:tcPr>
            <w:tcW w:w="2126" w:type="dxa"/>
          </w:tcPr>
          <w:p w14:paraId="1C01F4D3" w14:textId="1CD7845C" w:rsidR="00EA1AF1" w:rsidRPr="00795D82" w:rsidRDefault="00FE465E" w:rsidP="00795D82">
            <w:pPr>
              <w:spacing w:before="20" w:after="20"/>
              <w:jc w:val="center"/>
              <w:rPr>
                <w:lang w:val="nl-NL"/>
              </w:rPr>
            </w:pPr>
            <w:r>
              <w:rPr>
                <w:lang w:val="nl-NL"/>
              </w:rPr>
              <w:t>5</w:t>
            </w:r>
            <w:r w:rsidR="00EA1AF1" w:rsidRPr="00795D82">
              <w:rPr>
                <w:lang w:val="nl-NL"/>
              </w:rPr>
              <w:t>0%-110%</w:t>
            </w:r>
          </w:p>
        </w:tc>
      </w:tr>
      <w:tr w:rsidR="00EA1AF1" w:rsidRPr="00795D82" w14:paraId="5F8276EE" w14:textId="77777777" w:rsidTr="00F5449C">
        <w:tc>
          <w:tcPr>
            <w:tcW w:w="1101" w:type="dxa"/>
          </w:tcPr>
          <w:p w14:paraId="0A93AFB0" w14:textId="77777777" w:rsidR="00EA1AF1" w:rsidRPr="00795D82" w:rsidRDefault="00EA1AF1" w:rsidP="00795D82">
            <w:pPr>
              <w:spacing w:before="20" w:after="20"/>
              <w:rPr>
                <w:b/>
                <w:lang w:val="nl-NL"/>
              </w:rPr>
            </w:pPr>
            <w:r w:rsidRPr="00795D82">
              <w:rPr>
                <w:b/>
                <w:lang w:val="nl-NL"/>
              </w:rPr>
              <w:t>CHF</w:t>
            </w:r>
          </w:p>
        </w:tc>
        <w:tc>
          <w:tcPr>
            <w:tcW w:w="2126" w:type="dxa"/>
          </w:tcPr>
          <w:p w14:paraId="5EC7A896" w14:textId="77777777" w:rsidR="00EA1AF1" w:rsidRPr="00795D82" w:rsidRDefault="00EA1AF1" w:rsidP="00795D82">
            <w:pPr>
              <w:spacing w:before="20" w:after="20"/>
              <w:jc w:val="center"/>
              <w:rPr>
                <w:lang w:val="nl-NL"/>
              </w:rPr>
            </w:pPr>
            <w:r>
              <w:rPr>
                <w:lang w:val="en-GB"/>
              </w:rPr>
              <w:t>100%</w:t>
            </w:r>
          </w:p>
        </w:tc>
        <w:tc>
          <w:tcPr>
            <w:tcW w:w="2126" w:type="dxa"/>
          </w:tcPr>
          <w:p w14:paraId="2C9B5E6E" w14:textId="4BCB1F2B" w:rsidR="00EA1AF1" w:rsidRPr="00795D82" w:rsidRDefault="00E14858" w:rsidP="00795D82">
            <w:pPr>
              <w:spacing w:before="20" w:after="20"/>
              <w:jc w:val="center"/>
              <w:rPr>
                <w:lang w:val="nl-NL"/>
              </w:rPr>
            </w:pPr>
            <w:r>
              <w:rPr>
                <w:lang w:val="nl-NL"/>
              </w:rPr>
              <w:t>5</w:t>
            </w:r>
            <w:r w:rsidR="00EA1AF1" w:rsidRPr="00795D82">
              <w:rPr>
                <w:lang w:val="nl-NL"/>
              </w:rPr>
              <w:t>0%-110%</w:t>
            </w:r>
          </w:p>
        </w:tc>
      </w:tr>
      <w:tr w:rsidR="00334936" w:rsidRPr="00795D82" w14:paraId="1E9768E3" w14:textId="77777777" w:rsidTr="00F5449C">
        <w:tc>
          <w:tcPr>
            <w:tcW w:w="1101" w:type="dxa"/>
          </w:tcPr>
          <w:p w14:paraId="02ECC3A5" w14:textId="7F47E015" w:rsidR="00334936" w:rsidRPr="00795D82" w:rsidRDefault="00334936" w:rsidP="00795D82">
            <w:pPr>
              <w:spacing w:before="20" w:after="20"/>
              <w:rPr>
                <w:b/>
                <w:lang w:val="nl-NL"/>
              </w:rPr>
            </w:pPr>
            <w:r>
              <w:rPr>
                <w:b/>
                <w:lang w:val="nl-NL"/>
              </w:rPr>
              <w:t>SEK</w:t>
            </w:r>
          </w:p>
        </w:tc>
        <w:tc>
          <w:tcPr>
            <w:tcW w:w="2126" w:type="dxa"/>
          </w:tcPr>
          <w:p w14:paraId="501A3AD3" w14:textId="794F4BD4" w:rsidR="00334936" w:rsidRDefault="00334936" w:rsidP="00795D82">
            <w:pPr>
              <w:spacing w:before="20" w:after="20"/>
              <w:jc w:val="center"/>
              <w:rPr>
                <w:lang w:val="en-GB"/>
              </w:rPr>
            </w:pPr>
            <w:r>
              <w:rPr>
                <w:lang w:val="en-GB"/>
              </w:rPr>
              <w:t>100%</w:t>
            </w:r>
          </w:p>
        </w:tc>
        <w:tc>
          <w:tcPr>
            <w:tcW w:w="2126" w:type="dxa"/>
          </w:tcPr>
          <w:p w14:paraId="194F9F1A" w14:textId="0F761BF8" w:rsidR="00334936" w:rsidRDefault="00FE465E" w:rsidP="00795D82">
            <w:pPr>
              <w:spacing w:before="20" w:after="20"/>
              <w:jc w:val="center"/>
              <w:rPr>
                <w:lang w:val="nl-NL"/>
              </w:rPr>
            </w:pPr>
            <w:r>
              <w:rPr>
                <w:lang w:val="nl-NL"/>
              </w:rPr>
              <w:t>50%-110%</w:t>
            </w:r>
          </w:p>
        </w:tc>
      </w:tr>
    </w:tbl>
    <w:p w14:paraId="2CFAC410" w14:textId="77777777" w:rsidR="000D6191" w:rsidRDefault="000D6191" w:rsidP="000D6191">
      <w:pPr>
        <w:jc w:val="both"/>
        <w:rPr>
          <w:lang w:val="nl-NL"/>
        </w:rPr>
      </w:pPr>
    </w:p>
    <w:p w14:paraId="72BC5E08" w14:textId="77777777" w:rsidR="002245BD" w:rsidRDefault="002245BD" w:rsidP="002245BD">
      <w:pPr>
        <w:jc w:val="both"/>
        <w:rPr>
          <w:lang w:val="nl-NL"/>
        </w:rPr>
      </w:pPr>
      <w:r>
        <w:rPr>
          <w:lang w:val="nl-NL"/>
        </w:rPr>
        <w:t>Het tegenpartijen beleid wordt gekenmerkt door de volgende punten:</w:t>
      </w:r>
    </w:p>
    <w:p w14:paraId="3F705F54" w14:textId="77777777" w:rsidR="002245BD" w:rsidRPr="00660517" w:rsidRDefault="002245BD" w:rsidP="001E699B">
      <w:pPr>
        <w:pStyle w:val="Lijstalinea"/>
        <w:numPr>
          <w:ilvl w:val="1"/>
          <w:numId w:val="47"/>
        </w:numPr>
        <w:tabs>
          <w:tab w:val="left" w:pos="714"/>
        </w:tabs>
        <w:spacing w:before="0" w:after="0"/>
        <w:ind w:left="714" w:hanging="357"/>
        <w:jc w:val="both"/>
        <w:rPr>
          <w:lang w:val="nl-NL"/>
        </w:rPr>
      </w:pPr>
      <w:r w:rsidRPr="00660517">
        <w:rPr>
          <w:lang w:val="nl-NL"/>
        </w:rPr>
        <w:t>Tegenpartij heeft minima</w:t>
      </w:r>
      <w:r>
        <w:rPr>
          <w:lang w:val="nl-NL"/>
        </w:rPr>
        <w:t>a</w:t>
      </w:r>
      <w:r w:rsidRPr="00660517">
        <w:rPr>
          <w:lang w:val="nl-NL"/>
        </w:rPr>
        <w:t>l</w:t>
      </w:r>
      <w:r>
        <w:rPr>
          <w:lang w:val="nl-NL"/>
        </w:rPr>
        <w:t xml:space="preserve"> een lange termijn </w:t>
      </w:r>
      <w:r w:rsidRPr="00660517">
        <w:rPr>
          <w:lang w:val="nl-NL"/>
        </w:rPr>
        <w:t xml:space="preserve">rating van A2/A </w:t>
      </w:r>
      <w:r>
        <w:rPr>
          <w:lang w:val="nl-NL"/>
        </w:rPr>
        <w:t xml:space="preserve">bij minimaal </w:t>
      </w:r>
      <w:r>
        <w:rPr>
          <w:rFonts w:ascii="Arial" w:hAnsi="Arial" w:cs="Arial"/>
          <w:lang w:val="nl-NL"/>
        </w:rPr>
        <w:t>éé</w:t>
      </w:r>
      <w:r>
        <w:rPr>
          <w:lang w:val="nl-NL"/>
        </w:rPr>
        <w:t xml:space="preserve">n van de twee rating agencies </w:t>
      </w:r>
      <w:r w:rsidRPr="00660517">
        <w:rPr>
          <w:lang w:val="nl-NL"/>
        </w:rPr>
        <w:t>(Moody</w:t>
      </w:r>
      <w:r>
        <w:rPr>
          <w:lang w:val="nl-NL"/>
        </w:rPr>
        <w:t>’</w:t>
      </w:r>
      <w:r w:rsidRPr="00660517">
        <w:rPr>
          <w:lang w:val="nl-NL"/>
        </w:rPr>
        <w:t>s</w:t>
      </w:r>
      <w:r>
        <w:rPr>
          <w:lang w:val="nl-NL"/>
        </w:rPr>
        <w:t xml:space="preserve"> of </w:t>
      </w:r>
      <w:r w:rsidRPr="00660517">
        <w:rPr>
          <w:lang w:val="nl-NL"/>
        </w:rPr>
        <w:t>S&amp;P) en een korte termijn rating van minimaal P1/A1/F1.</w:t>
      </w:r>
    </w:p>
    <w:p w14:paraId="5505EE42" w14:textId="77777777" w:rsidR="002245BD" w:rsidRDefault="002245BD" w:rsidP="001E699B">
      <w:pPr>
        <w:pStyle w:val="Lijstalinea"/>
        <w:numPr>
          <w:ilvl w:val="1"/>
          <w:numId w:val="47"/>
        </w:numPr>
        <w:tabs>
          <w:tab w:val="left" w:pos="714"/>
        </w:tabs>
        <w:spacing w:before="0" w:after="0"/>
        <w:ind w:left="714" w:hanging="357"/>
        <w:jc w:val="both"/>
        <w:rPr>
          <w:lang w:val="nl-NL"/>
        </w:rPr>
      </w:pPr>
      <w:r w:rsidRPr="00660517">
        <w:rPr>
          <w:lang w:val="nl-NL"/>
        </w:rPr>
        <w:t>Tegenpartij is bij voorkeur een (Global)</w:t>
      </w:r>
      <w:r>
        <w:rPr>
          <w:lang w:val="nl-NL"/>
        </w:rPr>
        <w:t>-SIB</w:t>
      </w:r>
      <w:r w:rsidRPr="00660517">
        <w:rPr>
          <w:lang w:val="nl-NL"/>
        </w:rPr>
        <w:t xml:space="preserve"> (Systemically Important </w:t>
      </w:r>
      <w:r>
        <w:rPr>
          <w:lang w:val="nl-NL"/>
        </w:rPr>
        <w:t>Bank</w:t>
      </w:r>
      <w:r w:rsidRPr="00660517">
        <w:rPr>
          <w:lang w:val="nl-NL"/>
        </w:rPr>
        <w:t>)</w:t>
      </w:r>
      <w:r>
        <w:rPr>
          <w:lang w:val="nl-NL"/>
        </w:rPr>
        <w:t>.</w:t>
      </w:r>
    </w:p>
    <w:p w14:paraId="22C3B87A" w14:textId="77777777" w:rsidR="000D05C5" w:rsidRDefault="000D05C5" w:rsidP="002245BD">
      <w:pPr>
        <w:jc w:val="both"/>
        <w:rPr>
          <w:lang w:val="nl-NL"/>
        </w:rPr>
      </w:pPr>
    </w:p>
    <w:p w14:paraId="037AB79E" w14:textId="08BA2E94" w:rsidR="002245BD" w:rsidRPr="00660517" w:rsidRDefault="002245BD" w:rsidP="002245BD">
      <w:pPr>
        <w:jc w:val="both"/>
        <w:rPr>
          <w:lang w:val="nl-NL"/>
        </w:rPr>
      </w:pPr>
      <w:r>
        <w:rPr>
          <w:lang w:val="nl-NL"/>
        </w:rPr>
        <w:t>Valuta termijncontracten worden enkel verhandeld met partijen waarmee een ISDA en CSA is afgesloten, met daarbij de volgende afspraken in acht genomen</w:t>
      </w:r>
      <w:r w:rsidRPr="00660517">
        <w:rPr>
          <w:lang w:val="nl-NL"/>
        </w:rPr>
        <w:t>:</w:t>
      </w:r>
    </w:p>
    <w:p w14:paraId="15E2E0F9" w14:textId="77777777" w:rsidR="002245BD" w:rsidRDefault="002245BD" w:rsidP="001E699B">
      <w:pPr>
        <w:pStyle w:val="Lijstalinea"/>
        <w:numPr>
          <w:ilvl w:val="1"/>
          <w:numId w:val="47"/>
        </w:numPr>
        <w:tabs>
          <w:tab w:val="left" w:pos="714"/>
        </w:tabs>
        <w:ind w:left="714" w:hanging="357"/>
        <w:jc w:val="both"/>
        <w:rPr>
          <w:lang w:val="nl-NL"/>
        </w:rPr>
      </w:pPr>
      <w:r>
        <w:rPr>
          <w:lang w:val="nl-NL"/>
        </w:rPr>
        <w:t xml:space="preserve">Het streven is een </w:t>
      </w:r>
      <w:r w:rsidRPr="00660517">
        <w:rPr>
          <w:lang w:val="nl-NL"/>
        </w:rPr>
        <w:t xml:space="preserve">rating trigger voor Early Termination Events </w:t>
      </w:r>
      <w:r>
        <w:rPr>
          <w:lang w:val="nl-NL"/>
        </w:rPr>
        <w:t>op te nemen</w:t>
      </w:r>
      <w:r w:rsidRPr="00660517">
        <w:rPr>
          <w:lang w:val="nl-NL"/>
        </w:rPr>
        <w:t xml:space="preserve"> in de </w:t>
      </w:r>
      <w:r>
        <w:rPr>
          <w:lang w:val="nl-NL"/>
        </w:rPr>
        <w:t>ISDA en CSA documentatie voor een tegenpartij;</w:t>
      </w:r>
    </w:p>
    <w:p w14:paraId="3BDD6941" w14:textId="69C9B165" w:rsidR="002245BD" w:rsidRPr="009653C5" w:rsidRDefault="002245BD" w:rsidP="001E699B">
      <w:pPr>
        <w:pStyle w:val="Lijstalinea"/>
        <w:numPr>
          <w:ilvl w:val="1"/>
          <w:numId w:val="47"/>
        </w:numPr>
        <w:tabs>
          <w:tab w:val="left" w:pos="714"/>
          <w:tab w:val="left" w:pos="1072"/>
          <w:tab w:val="left" w:pos="1560"/>
        </w:tabs>
        <w:ind w:left="714" w:hanging="357"/>
        <w:jc w:val="both"/>
        <w:rPr>
          <w:lang w:val="nl-NL"/>
        </w:rPr>
      </w:pPr>
      <w:r w:rsidRPr="0086773D">
        <w:rPr>
          <w:lang w:val="nl-NL"/>
        </w:rPr>
        <w:t xml:space="preserve">Onderpand uitsluitend in de vorm van “Negotiable Debt Obligations” van tenminste Aa3/AA- kwaliteit (Moody’s/S&amp;P), waarbij de vastgelegde criteria voor ‘eligible securities’ aansluiten op het beleggingsuniversum van de </w:t>
      </w:r>
      <w:r>
        <w:rPr>
          <w:lang w:val="nl-NL"/>
        </w:rPr>
        <w:t>M</w:t>
      </w:r>
      <w:r w:rsidRPr="0086773D">
        <w:rPr>
          <w:lang w:val="nl-NL"/>
        </w:rPr>
        <w:t xml:space="preserve">atching portefeuille van </w:t>
      </w:r>
      <w:r>
        <w:rPr>
          <w:lang w:val="nl-NL"/>
        </w:rPr>
        <w:t xml:space="preserve">het fonds. Daarnaast kan cash gelden als onderpand. </w:t>
      </w:r>
      <w:r w:rsidRPr="0086773D">
        <w:rPr>
          <w:lang w:val="nl-NL"/>
        </w:rPr>
        <w:t xml:space="preserve">Marktconforme richtlijnen en ‘thresholds’ voor waardering en dagelijkse uitwisseling van onderpand op basis van de netto exposure van </w:t>
      </w:r>
      <w:r>
        <w:rPr>
          <w:lang w:val="nl-NL"/>
        </w:rPr>
        <w:t xml:space="preserve">de derivatenposities. Dagelijkse </w:t>
      </w:r>
      <w:r w:rsidRPr="0086773D">
        <w:rPr>
          <w:lang w:val="nl-NL"/>
        </w:rPr>
        <w:t>(her-)</w:t>
      </w:r>
      <w:r>
        <w:rPr>
          <w:lang w:val="nl-NL"/>
        </w:rPr>
        <w:t xml:space="preserve"> </w:t>
      </w:r>
      <w:r w:rsidRPr="0086773D">
        <w:rPr>
          <w:lang w:val="nl-NL"/>
        </w:rPr>
        <w:t>waardering van posities en dagelijkse mogelijkheid tot bijstellen onderpand.</w:t>
      </w:r>
      <w:r>
        <w:rPr>
          <w:lang w:val="nl-NL"/>
        </w:rPr>
        <w:t xml:space="preserve"> </w:t>
      </w:r>
      <w:r w:rsidR="00CA3A3F">
        <w:rPr>
          <w:lang w:val="nl-NL"/>
        </w:rPr>
        <w:t xml:space="preserve">Ons </w:t>
      </w:r>
      <w:r>
        <w:rPr>
          <w:lang w:val="nl-NL"/>
        </w:rPr>
        <w:t>fonds</w:t>
      </w:r>
      <w:r w:rsidRPr="0086773D">
        <w:rPr>
          <w:lang w:val="nl-NL"/>
        </w:rPr>
        <w:t xml:space="preserve"> </w:t>
      </w:r>
      <w:r w:rsidRPr="0086773D">
        <w:rPr>
          <w:lang w:val="nl-NL"/>
        </w:rPr>
        <w:lastRenderedPageBreak/>
        <w:t xml:space="preserve">accepteert geen </w:t>
      </w:r>
      <w:r>
        <w:rPr>
          <w:lang w:val="nl-NL"/>
        </w:rPr>
        <w:t xml:space="preserve">‘additional termination events’ </w:t>
      </w:r>
      <w:r w:rsidRPr="0086773D">
        <w:rPr>
          <w:lang w:val="nl-NL"/>
        </w:rPr>
        <w:t>ten gunste van de tegenpartij die is gerelatee</w:t>
      </w:r>
      <w:r>
        <w:rPr>
          <w:lang w:val="nl-NL"/>
        </w:rPr>
        <w:t xml:space="preserve">rd aan de dekkingsgraad van </w:t>
      </w:r>
      <w:r w:rsidR="00CA3A3F">
        <w:rPr>
          <w:lang w:val="nl-NL"/>
        </w:rPr>
        <w:t xml:space="preserve">ons </w:t>
      </w:r>
      <w:r>
        <w:rPr>
          <w:lang w:val="nl-NL"/>
        </w:rPr>
        <w:t xml:space="preserve">fonds. </w:t>
      </w:r>
    </w:p>
    <w:p w14:paraId="381BB051" w14:textId="496E69A3" w:rsidR="002245BD" w:rsidRPr="00240DAB" w:rsidRDefault="002E544F" w:rsidP="002245BD">
      <w:pPr>
        <w:tabs>
          <w:tab w:val="left" w:pos="1560"/>
        </w:tabs>
        <w:jc w:val="both"/>
        <w:rPr>
          <w:lang w:val="nl-NL"/>
        </w:rPr>
      </w:pPr>
      <w:r>
        <w:rPr>
          <w:lang w:val="nl-NL"/>
        </w:rPr>
        <w:t>Ons</w:t>
      </w:r>
      <w:r w:rsidRPr="00240DAB">
        <w:rPr>
          <w:lang w:val="nl-NL"/>
        </w:rPr>
        <w:t xml:space="preserve"> </w:t>
      </w:r>
      <w:r w:rsidR="002245BD" w:rsidRPr="00240DAB">
        <w:rPr>
          <w:lang w:val="nl-NL"/>
        </w:rPr>
        <w:t xml:space="preserve">fonds heeft State Street Bank aangesteld als onafhankelijk </w:t>
      </w:r>
      <w:r w:rsidR="002245BD">
        <w:rPr>
          <w:lang w:val="nl-NL"/>
        </w:rPr>
        <w:t>c</w:t>
      </w:r>
      <w:r w:rsidR="002245BD" w:rsidRPr="00240DAB">
        <w:rPr>
          <w:lang w:val="nl-NL"/>
        </w:rPr>
        <w:t xml:space="preserve">ollateral </w:t>
      </w:r>
      <w:r w:rsidR="002245BD">
        <w:rPr>
          <w:lang w:val="nl-NL"/>
        </w:rPr>
        <w:t>m</w:t>
      </w:r>
      <w:r w:rsidR="002245BD" w:rsidRPr="00240DAB">
        <w:rPr>
          <w:lang w:val="nl-NL"/>
        </w:rPr>
        <w:t xml:space="preserve">anager. State Street Bank heeft op contractuele basis de bevoegdheid namens en ten behoeve van </w:t>
      </w:r>
      <w:r w:rsidR="002245BD">
        <w:rPr>
          <w:lang w:val="nl-NL"/>
        </w:rPr>
        <w:t>het fonds</w:t>
      </w:r>
      <w:r w:rsidR="002245BD" w:rsidRPr="00240DAB">
        <w:rPr>
          <w:lang w:val="nl-NL"/>
        </w:rPr>
        <w:t xml:space="preserve"> onderpand te leveren of af te roepen. Alle contracten en rekeningen ten behoeve van het stellen of aanhouden van onderpand worden op naam van </w:t>
      </w:r>
      <w:r>
        <w:rPr>
          <w:lang w:val="nl-NL"/>
        </w:rPr>
        <w:t xml:space="preserve">ons </w:t>
      </w:r>
      <w:r w:rsidR="002245BD">
        <w:rPr>
          <w:lang w:val="nl-NL"/>
        </w:rPr>
        <w:t>fonds</w:t>
      </w:r>
      <w:r w:rsidR="002245BD" w:rsidRPr="00240DAB">
        <w:rPr>
          <w:lang w:val="nl-NL"/>
        </w:rPr>
        <w:t xml:space="preserve"> gesteld en zijn juridisch afgezonderd van het vermogen van de </w:t>
      </w:r>
      <w:r w:rsidR="002245BD">
        <w:rPr>
          <w:lang w:val="nl-NL"/>
        </w:rPr>
        <w:t>c</w:t>
      </w:r>
      <w:r w:rsidR="002245BD" w:rsidRPr="00240DAB">
        <w:rPr>
          <w:lang w:val="nl-NL"/>
        </w:rPr>
        <w:t xml:space="preserve">ollateral </w:t>
      </w:r>
      <w:r w:rsidR="002245BD">
        <w:rPr>
          <w:lang w:val="nl-NL"/>
        </w:rPr>
        <w:t>m</w:t>
      </w:r>
      <w:r w:rsidR="002245BD" w:rsidRPr="00240DAB">
        <w:rPr>
          <w:lang w:val="nl-NL"/>
        </w:rPr>
        <w:t>anager.</w:t>
      </w:r>
    </w:p>
    <w:p w14:paraId="52E59E6B" w14:textId="77777777" w:rsidR="000D6191" w:rsidRDefault="000D6191" w:rsidP="006B5FB0">
      <w:pPr>
        <w:pStyle w:val="Kop2"/>
        <w:numPr>
          <w:ilvl w:val="0"/>
          <w:numId w:val="0"/>
        </w:numPr>
        <w:rPr>
          <w:rFonts w:hint="eastAsia"/>
          <w:lang w:val="nl-NL"/>
        </w:rPr>
      </w:pPr>
    </w:p>
    <w:p w14:paraId="5736BF08" w14:textId="6E6B4E68" w:rsidR="00D4553F" w:rsidRDefault="00D4553F" w:rsidP="001A4CB4">
      <w:pPr>
        <w:pStyle w:val="Kop3"/>
        <w:rPr>
          <w:rFonts w:hint="eastAsia"/>
          <w:lang w:val="nl-NL"/>
        </w:rPr>
      </w:pPr>
      <w:bookmarkStart w:id="59" w:name="_Toc231804781"/>
      <w:r>
        <w:rPr>
          <w:lang w:val="nl-NL"/>
        </w:rPr>
        <w:t>Afdekking van duurzaamheidsrisico’s</w:t>
      </w:r>
      <w:bookmarkEnd w:id="59"/>
      <w:r>
        <w:rPr>
          <w:lang w:val="nl-NL"/>
        </w:rPr>
        <w:t xml:space="preserve"> </w:t>
      </w:r>
    </w:p>
    <w:p w14:paraId="6CFB1FC7" w14:textId="77777777" w:rsidR="00D4553F" w:rsidRPr="00D4553F" w:rsidRDefault="00D4553F" w:rsidP="001A4CB4">
      <w:pPr>
        <w:rPr>
          <w:lang w:val="nl-NL"/>
        </w:rPr>
      </w:pPr>
    </w:p>
    <w:p w14:paraId="0FD859CB" w14:textId="5852911B" w:rsidR="002511E3" w:rsidRPr="001A4CB4" w:rsidRDefault="00FA148E" w:rsidP="002511E3">
      <w:pPr>
        <w:pStyle w:val="Normaalweb"/>
        <w:rPr>
          <w:rFonts w:asciiTheme="minorHAnsi" w:eastAsiaTheme="minorHAnsi" w:hAnsiTheme="minorHAnsi" w:cstheme="minorBidi"/>
          <w:sz w:val="20"/>
          <w:szCs w:val="22"/>
          <w:lang w:eastAsia="en-US"/>
        </w:rPr>
      </w:pPr>
      <w:r>
        <w:rPr>
          <w:rFonts w:asciiTheme="minorHAnsi" w:eastAsiaTheme="minorHAnsi" w:hAnsiTheme="minorHAnsi" w:cstheme="minorBidi"/>
          <w:sz w:val="20"/>
          <w:szCs w:val="22"/>
          <w:lang w:eastAsia="en-US"/>
        </w:rPr>
        <w:t>We</w:t>
      </w:r>
      <w:r w:rsidR="002511E3" w:rsidRPr="001A4CB4">
        <w:rPr>
          <w:rFonts w:asciiTheme="minorHAnsi" w:eastAsiaTheme="minorHAnsi" w:hAnsiTheme="minorHAnsi" w:cstheme="minorBidi"/>
          <w:sz w:val="20"/>
          <w:szCs w:val="22"/>
          <w:lang w:eastAsia="en-US"/>
        </w:rPr>
        <w:t xml:space="preserve"> voorzien dat duurzaamheidsrisico</w:t>
      </w:r>
      <w:r w:rsidR="00F12546">
        <w:rPr>
          <w:rFonts w:asciiTheme="minorHAnsi" w:eastAsiaTheme="minorHAnsi" w:hAnsiTheme="minorHAnsi" w:cstheme="minorBidi"/>
          <w:sz w:val="20"/>
          <w:szCs w:val="22"/>
          <w:lang w:eastAsia="en-US"/>
        </w:rPr>
        <w:t>’</w:t>
      </w:r>
      <w:r w:rsidR="002511E3" w:rsidRPr="001A4CB4">
        <w:rPr>
          <w:rFonts w:asciiTheme="minorHAnsi" w:eastAsiaTheme="minorHAnsi" w:hAnsiTheme="minorHAnsi" w:cstheme="minorBidi"/>
          <w:sz w:val="20"/>
          <w:szCs w:val="22"/>
          <w:lang w:eastAsia="en-US"/>
        </w:rPr>
        <w:t>s zich kunnen voordoen in geval van regulering, overheidsingrijpen of aansprakelijkheidsclaims voor beleggingen in CO2-intensieve ondernemingen (bijvoorbeeld CO2-taks), beleggingen in bedrijven van wie de bijdrage aan biodiversiteitsverlies groot is</w:t>
      </w:r>
      <w:r w:rsidR="00622460">
        <w:rPr>
          <w:rFonts w:asciiTheme="minorHAnsi" w:eastAsiaTheme="minorHAnsi" w:hAnsiTheme="minorHAnsi" w:cstheme="minorBidi"/>
          <w:sz w:val="20"/>
          <w:szCs w:val="22"/>
          <w:lang w:eastAsia="en-US"/>
        </w:rPr>
        <w:t xml:space="preserve">, </w:t>
      </w:r>
      <w:r w:rsidR="00E84371">
        <w:rPr>
          <w:rFonts w:asciiTheme="minorHAnsi" w:eastAsiaTheme="minorHAnsi" w:hAnsiTheme="minorHAnsi" w:cstheme="minorBidi"/>
          <w:sz w:val="20"/>
          <w:szCs w:val="22"/>
          <w:lang w:eastAsia="en-US"/>
        </w:rPr>
        <w:t>beleggingen met een verhoogd</w:t>
      </w:r>
      <w:r w:rsidR="0038580D">
        <w:rPr>
          <w:rFonts w:asciiTheme="minorHAnsi" w:eastAsiaTheme="minorHAnsi" w:hAnsiTheme="minorHAnsi" w:cstheme="minorBidi"/>
          <w:sz w:val="20"/>
          <w:szCs w:val="22"/>
          <w:lang w:eastAsia="en-US"/>
        </w:rPr>
        <w:t>/hoog</w:t>
      </w:r>
      <w:r w:rsidR="00E84371">
        <w:rPr>
          <w:rFonts w:asciiTheme="minorHAnsi" w:eastAsiaTheme="minorHAnsi" w:hAnsiTheme="minorHAnsi" w:cstheme="minorBidi"/>
          <w:sz w:val="20"/>
          <w:szCs w:val="22"/>
          <w:lang w:eastAsia="en-US"/>
        </w:rPr>
        <w:t xml:space="preserve"> risico </w:t>
      </w:r>
      <w:r w:rsidR="00622460" w:rsidRPr="001A4CB4">
        <w:rPr>
          <w:rFonts w:asciiTheme="minorHAnsi" w:eastAsiaTheme="minorHAnsi" w:hAnsiTheme="minorHAnsi" w:cstheme="minorBidi"/>
          <w:sz w:val="20"/>
          <w:szCs w:val="22"/>
          <w:lang w:eastAsia="en-US"/>
        </w:rPr>
        <w:t>op overstromingen</w:t>
      </w:r>
      <w:r w:rsidR="00622460">
        <w:rPr>
          <w:rFonts w:asciiTheme="minorHAnsi" w:eastAsiaTheme="minorHAnsi" w:hAnsiTheme="minorHAnsi" w:cstheme="minorBidi"/>
          <w:sz w:val="20"/>
          <w:szCs w:val="22"/>
          <w:lang w:eastAsia="en-US"/>
        </w:rPr>
        <w:t xml:space="preserve"> </w:t>
      </w:r>
      <w:r w:rsidR="00622460" w:rsidRPr="001A4CB4">
        <w:rPr>
          <w:rFonts w:asciiTheme="minorHAnsi" w:eastAsiaTheme="minorHAnsi" w:hAnsiTheme="minorHAnsi" w:cstheme="minorBidi"/>
          <w:sz w:val="20"/>
          <w:szCs w:val="22"/>
          <w:lang w:eastAsia="en-US"/>
        </w:rPr>
        <w:t>(vastgoed</w:t>
      </w:r>
      <w:r w:rsidR="00CE5454">
        <w:rPr>
          <w:rFonts w:asciiTheme="minorHAnsi" w:eastAsiaTheme="minorHAnsi" w:hAnsiTheme="minorHAnsi" w:cstheme="minorBidi"/>
          <w:sz w:val="20"/>
          <w:szCs w:val="22"/>
          <w:lang w:eastAsia="en-US"/>
        </w:rPr>
        <w:t>)</w:t>
      </w:r>
      <w:r w:rsidR="00622460">
        <w:rPr>
          <w:rFonts w:ascii="FrutigerLTStd" w:hAnsi="FrutigerLTStd"/>
          <w:color w:val="7A7A7A"/>
          <w:sz w:val="20"/>
          <w:szCs w:val="20"/>
        </w:rPr>
        <w:t xml:space="preserve">, </w:t>
      </w:r>
      <w:r w:rsidR="002511E3">
        <w:rPr>
          <w:rFonts w:asciiTheme="minorHAnsi" w:eastAsiaTheme="minorHAnsi" w:hAnsiTheme="minorHAnsi" w:cstheme="minorBidi"/>
          <w:sz w:val="20"/>
          <w:szCs w:val="22"/>
          <w:lang w:eastAsia="en-US"/>
        </w:rPr>
        <w:t xml:space="preserve"> </w:t>
      </w:r>
      <w:r w:rsidR="002511E3" w:rsidRPr="001A4CB4">
        <w:rPr>
          <w:rFonts w:asciiTheme="minorHAnsi" w:eastAsiaTheme="minorHAnsi" w:hAnsiTheme="minorHAnsi" w:cstheme="minorBidi"/>
          <w:sz w:val="20"/>
          <w:szCs w:val="22"/>
          <w:lang w:eastAsia="en-US"/>
        </w:rPr>
        <w:t>alsook voor beleggingen die nalaten om een ethisch ondernemingsklimaat te cre</w:t>
      </w:r>
      <w:r w:rsidR="002511E3" w:rsidRPr="001A4CB4">
        <w:rPr>
          <w:rFonts w:asciiTheme="minorHAnsi" w:eastAsiaTheme="minorHAnsi" w:hAnsiTheme="minorHAnsi" w:cstheme="minorBidi" w:hint="eastAsia"/>
          <w:sz w:val="20"/>
          <w:szCs w:val="22"/>
          <w:lang w:eastAsia="en-US"/>
        </w:rPr>
        <w:t>ë</w:t>
      </w:r>
      <w:r w:rsidR="002511E3" w:rsidRPr="001A4CB4">
        <w:rPr>
          <w:rFonts w:asciiTheme="minorHAnsi" w:eastAsiaTheme="minorHAnsi" w:hAnsiTheme="minorHAnsi" w:cstheme="minorBidi"/>
          <w:sz w:val="20"/>
          <w:szCs w:val="22"/>
          <w:lang w:eastAsia="en-US"/>
        </w:rPr>
        <w:t xml:space="preserve">ren, dat kan zorgen voor sociale ongelijkheid en of onveilige arbeidsomstandigheden.  </w:t>
      </w:r>
    </w:p>
    <w:p w14:paraId="34B32E23" w14:textId="7295933F" w:rsidR="002511E3" w:rsidRDefault="002511E3" w:rsidP="002511E3">
      <w:pPr>
        <w:pStyle w:val="Normaalweb"/>
        <w:rPr>
          <w:rFonts w:asciiTheme="minorHAnsi" w:eastAsiaTheme="minorHAnsi" w:hAnsiTheme="minorHAnsi" w:cstheme="minorBidi"/>
          <w:sz w:val="20"/>
          <w:szCs w:val="22"/>
          <w:lang w:eastAsia="en-US"/>
        </w:rPr>
      </w:pPr>
      <w:r w:rsidRPr="001A4CB4">
        <w:rPr>
          <w:rFonts w:asciiTheme="minorHAnsi" w:eastAsiaTheme="minorHAnsi" w:hAnsiTheme="minorHAnsi" w:cstheme="minorBidi"/>
          <w:sz w:val="20"/>
          <w:szCs w:val="22"/>
          <w:lang w:eastAsia="en-US"/>
        </w:rPr>
        <w:t>Al</w:t>
      </w:r>
      <w:r w:rsidR="00D4553F" w:rsidRPr="001A4CB4">
        <w:rPr>
          <w:rFonts w:asciiTheme="minorHAnsi" w:eastAsiaTheme="minorHAnsi" w:hAnsiTheme="minorHAnsi" w:cstheme="minorBidi"/>
          <w:sz w:val="20"/>
          <w:szCs w:val="22"/>
          <w:lang w:eastAsia="en-US"/>
        </w:rPr>
        <w:t xml:space="preserve">s </w:t>
      </w:r>
      <w:r w:rsidR="005649D3">
        <w:rPr>
          <w:rFonts w:asciiTheme="minorHAnsi" w:eastAsiaTheme="minorHAnsi" w:hAnsiTheme="minorHAnsi" w:cstheme="minorBidi"/>
          <w:sz w:val="20"/>
          <w:szCs w:val="22"/>
          <w:lang w:eastAsia="en-US"/>
        </w:rPr>
        <w:t>bij een voorgenomen beleggingsbeslissing</w:t>
      </w:r>
      <w:r w:rsidR="002C6217">
        <w:rPr>
          <w:rFonts w:asciiTheme="minorHAnsi" w:eastAsiaTheme="minorHAnsi" w:hAnsiTheme="minorHAnsi" w:cstheme="minorBidi"/>
          <w:sz w:val="20"/>
          <w:szCs w:val="22"/>
          <w:lang w:eastAsia="en-US"/>
        </w:rPr>
        <w:t>,</w:t>
      </w:r>
      <w:r w:rsidR="005649D3">
        <w:rPr>
          <w:rFonts w:asciiTheme="minorHAnsi" w:eastAsiaTheme="minorHAnsi" w:hAnsiTheme="minorHAnsi" w:cstheme="minorBidi"/>
          <w:sz w:val="20"/>
          <w:szCs w:val="22"/>
          <w:lang w:eastAsia="en-US"/>
        </w:rPr>
        <w:t xml:space="preserve"> of uit </w:t>
      </w:r>
      <w:r w:rsidR="0006425F">
        <w:rPr>
          <w:rFonts w:asciiTheme="minorHAnsi" w:eastAsiaTheme="minorHAnsi" w:hAnsiTheme="minorHAnsi" w:cstheme="minorBidi"/>
          <w:sz w:val="20"/>
          <w:szCs w:val="22"/>
          <w:lang w:eastAsia="en-US"/>
        </w:rPr>
        <w:t>de periodieke monitoring</w:t>
      </w:r>
      <w:r w:rsidR="002C6217">
        <w:rPr>
          <w:rFonts w:asciiTheme="minorHAnsi" w:eastAsiaTheme="minorHAnsi" w:hAnsiTheme="minorHAnsi" w:cstheme="minorBidi"/>
          <w:sz w:val="20"/>
          <w:szCs w:val="22"/>
          <w:lang w:eastAsia="en-US"/>
        </w:rPr>
        <w:t>,</w:t>
      </w:r>
      <w:r w:rsidR="0006425F">
        <w:rPr>
          <w:rFonts w:asciiTheme="minorHAnsi" w:eastAsiaTheme="minorHAnsi" w:hAnsiTheme="minorHAnsi" w:cstheme="minorBidi"/>
          <w:sz w:val="20"/>
          <w:szCs w:val="22"/>
          <w:lang w:eastAsia="en-US"/>
        </w:rPr>
        <w:t xml:space="preserve"> </w:t>
      </w:r>
      <w:r w:rsidR="002C6217">
        <w:rPr>
          <w:rFonts w:asciiTheme="minorHAnsi" w:eastAsiaTheme="minorHAnsi" w:hAnsiTheme="minorHAnsi" w:cstheme="minorBidi"/>
          <w:sz w:val="20"/>
          <w:szCs w:val="22"/>
          <w:lang w:eastAsia="en-US"/>
        </w:rPr>
        <w:t xml:space="preserve">op basis van kwalitatieve informatie </w:t>
      </w:r>
      <w:r w:rsidR="0006425F">
        <w:rPr>
          <w:rFonts w:asciiTheme="minorHAnsi" w:eastAsiaTheme="minorHAnsi" w:hAnsiTheme="minorHAnsi" w:cstheme="minorBidi"/>
          <w:sz w:val="20"/>
          <w:szCs w:val="22"/>
          <w:lang w:eastAsia="en-US"/>
        </w:rPr>
        <w:t xml:space="preserve">blijkt dat </w:t>
      </w:r>
      <w:r>
        <w:rPr>
          <w:rFonts w:asciiTheme="minorHAnsi" w:eastAsiaTheme="minorHAnsi" w:hAnsiTheme="minorHAnsi" w:cstheme="minorBidi"/>
          <w:sz w:val="20"/>
          <w:szCs w:val="22"/>
          <w:lang w:eastAsia="en-US"/>
        </w:rPr>
        <w:t>een duurzaamheidsrisico zich voordoet of de kans daarop groot is</w:t>
      </w:r>
      <w:r w:rsidR="0006425F">
        <w:rPr>
          <w:rFonts w:asciiTheme="minorHAnsi" w:eastAsiaTheme="minorHAnsi" w:hAnsiTheme="minorHAnsi" w:cstheme="minorBidi"/>
          <w:sz w:val="20"/>
          <w:szCs w:val="22"/>
          <w:lang w:eastAsia="en-US"/>
        </w:rPr>
        <w:t xml:space="preserve"> (geworden)</w:t>
      </w:r>
      <w:r>
        <w:rPr>
          <w:rFonts w:asciiTheme="minorHAnsi" w:eastAsiaTheme="minorHAnsi" w:hAnsiTheme="minorHAnsi" w:cstheme="minorBidi"/>
          <w:sz w:val="20"/>
          <w:szCs w:val="22"/>
          <w:lang w:eastAsia="en-US"/>
        </w:rPr>
        <w:t xml:space="preserve">, zal </w:t>
      </w:r>
      <w:r w:rsidR="00FA148E">
        <w:rPr>
          <w:rFonts w:asciiTheme="minorHAnsi" w:eastAsiaTheme="minorHAnsi" w:hAnsiTheme="minorHAnsi" w:cstheme="minorBidi"/>
          <w:sz w:val="20"/>
          <w:szCs w:val="22"/>
          <w:lang w:eastAsia="en-US"/>
        </w:rPr>
        <w:t>ons fonds</w:t>
      </w:r>
      <w:r w:rsidR="00D4553F" w:rsidRPr="001A4CB4">
        <w:rPr>
          <w:rFonts w:asciiTheme="minorHAnsi" w:eastAsiaTheme="minorHAnsi" w:hAnsiTheme="minorHAnsi" w:cstheme="minorBidi"/>
          <w:sz w:val="20"/>
          <w:szCs w:val="22"/>
          <w:lang w:eastAsia="en-US"/>
        </w:rPr>
        <w:t xml:space="preserve"> </w:t>
      </w:r>
      <w:r>
        <w:rPr>
          <w:rFonts w:asciiTheme="minorHAnsi" w:eastAsiaTheme="minorHAnsi" w:hAnsiTheme="minorHAnsi" w:cstheme="minorBidi"/>
          <w:sz w:val="20"/>
          <w:szCs w:val="22"/>
          <w:lang w:eastAsia="en-US"/>
        </w:rPr>
        <w:t>deze belegging</w:t>
      </w:r>
      <w:r w:rsidR="004C5377">
        <w:rPr>
          <w:rFonts w:asciiTheme="minorHAnsi" w:eastAsiaTheme="minorHAnsi" w:hAnsiTheme="minorHAnsi" w:cstheme="minorBidi"/>
          <w:sz w:val="20"/>
          <w:szCs w:val="22"/>
          <w:lang w:eastAsia="en-US"/>
        </w:rPr>
        <w:t>, indien mogelijk,</w:t>
      </w:r>
      <w:r>
        <w:rPr>
          <w:rFonts w:asciiTheme="minorHAnsi" w:eastAsiaTheme="minorHAnsi" w:hAnsiTheme="minorHAnsi" w:cstheme="minorBidi"/>
          <w:sz w:val="20"/>
          <w:szCs w:val="22"/>
          <w:lang w:eastAsia="en-US"/>
        </w:rPr>
        <w:t xml:space="preserve"> verkopen en vervangen door </w:t>
      </w:r>
      <w:r w:rsidR="004C5377">
        <w:rPr>
          <w:rFonts w:asciiTheme="minorHAnsi" w:eastAsiaTheme="minorHAnsi" w:hAnsiTheme="minorHAnsi" w:cstheme="minorBidi"/>
          <w:sz w:val="20"/>
          <w:szCs w:val="22"/>
          <w:lang w:eastAsia="en-US"/>
        </w:rPr>
        <w:t xml:space="preserve">een </w:t>
      </w:r>
      <w:r>
        <w:rPr>
          <w:rFonts w:asciiTheme="minorHAnsi" w:eastAsiaTheme="minorHAnsi" w:hAnsiTheme="minorHAnsi" w:cstheme="minorBidi"/>
          <w:sz w:val="20"/>
          <w:szCs w:val="22"/>
          <w:lang w:eastAsia="en-US"/>
        </w:rPr>
        <w:t>belegging met geen of lage duurzaamheidsrisico’s ter afdekking van (</w:t>
      </w:r>
      <w:r w:rsidR="0006425F">
        <w:rPr>
          <w:rFonts w:asciiTheme="minorHAnsi" w:eastAsiaTheme="minorHAnsi" w:hAnsiTheme="minorHAnsi" w:cstheme="minorBidi"/>
          <w:sz w:val="20"/>
          <w:szCs w:val="22"/>
          <w:lang w:eastAsia="en-US"/>
        </w:rPr>
        <w:t>ontstane</w:t>
      </w:r>
      <w:r>
        <w:rPr>
          <w:rFonts w:asciiTheme="minorHAnsi" w:eastAsiaTheme="minorHAnsi" w:hAnsiTheme="minorHAnsi" w:cstheme="minorBidi"/>
          <w:sz w:val="20"/>
          <w:szCs w:val="22"/>
          <w:lang w:eastAsia="en-US"/>
        </w:rPr>
        <w:t>)</w:t>
      </w:r>
      <w:r w:rsidR="0006425F">
        <w:rPr>
          <w:rFonts w:asciiTheme="minorHAnsi" w:eastAsiaTheme="minorHAnsi" w:hAnsiTheme="minorHAnsi" w:cstheme="minorBidi"/>
          <w:sz w:val="20"/>
          <w:szCs w:val="22"/>
          <w:lang w:eastAsia="en-US"/>
        </w:rPr>
        <w:t xml:space="preserve"> </w:t>
      </w:r>
      <w:r>
        <w:rPr>
          <w:rFonts w:asciiTheme="minorHAnsi" w:eastAsiaTheme="minorHAnsi" w:hAnsiTheme="minorHAnsi" w:cstheme="minorBidi"/>
          <w:sz w:val="20"/>
          <w:szCs w:val="22"/>
          <w:lang w:eastAsia="en-US"/>
        </w:rPr>
        <w:t>duurzaamheidsrisico</w:t>
      </w:r>
      <w:r w:rsidR="00780CD9">
        <w:rPr>
          <w:rFonts w:asciiTheme="minorHAnsi" w:eastAsiaTheme="minorHAnsi" w:hAnsiTheme="minorHAnsi" w:cstheme="minorBidi"/>
          <w:sz w:val="20"/>
          <w:szCs w:val="22"/>
          <w:lang w:eastAsia="en-US"/>
        </w:rPr>
        <w:t>’</w:t>
      </w:r>
      <w:r>
        <w:rPr>
          <w:rFonts w:asciiTheme="minorHAnsi" w:eastAsiaTheme="minorHAnsi" w:hAnsiTheme="minorHAnsi" w:cstheme="minorBidi"/>
          <w:sz w:val="20"/>
          <w:szCs w:val="22"/>
          <w:lang w:eastAsia="en-US"/>
        </w:rPr>
        <w:t>s</w:t>
      </w:r>
      <w:r w:rsidR="00930ACF">
        <w:rPr>
          <w:rFonts w:asciiTheme="minorHAnsi" w:eastAsiaTheme="minorHAnsi" w:hAnsiTheme="minorHAnsi" w:cstheme="minorBidi"/>
          <w:sz w:val="20"/>
          <w:szCs w:val="22"/>
          <w:lang w:eastAsia="en-US"/>
        </w:rPr>
        <w:t>,</w:t>
      </w:r>
      <w:r w:rsidR="00A67A07">
        <w:rPr>
          <w:rFonts w:asciiTheme="minorHAnsi" w:eastAsiaTheme="minorHAnsi" w:hAnsiTheme="minorHAnsi" w:cstheme="minorBidi"/>
          <w:sz w:val="20"/>
          <w:szCs w:val="22"/>
          <w:lang w:eastAsia="en-US"/>
        </w:rPr>
        <w:t xml:space="preserve"> </w:t>
      </w:r>
      <w:r w:rsidR="00780CD9">
        <w:rPr>
          <w:rFonts w:asciiTheme="minorHAnsi" w:eastAsiaTheme="minorHAnsi" w:hAnsiTheme="minorHAnsi" w:cstheme="minorBidi"/>
          <w:sz w:val="20"/>
          <w:szCs w:val="22"/>
          <w:lang w:eastAsia="en-US"/>
        </w:rPr>
        <w:t>daaronder begrepen het risico op</w:t>
      </w:r>
      <w:r w:rsidR="00A67A07">
        <w:rPr>
          <w:rFonts w:asciiTheme="minorHAnsi" w:eastAsiaTheme="minorHAnsi" w:hAnsiTheme="minorHAnsi" w:cstheme="minorBidi"/>
          <w:sz w:val="20"/>
          <w:szCs w:val="22"/>
          <w:lang w:eastAsia="en-US"/>
        </w:rPr>
        <w:t xml:space="preserve"> </w:t>
      </w:r>
      <w:r w:rsidR="00A67A07" w:rsidRPr="001A4CB4">
        <w:rPr>
          <w:rFonts w:asciiTheme="minorHAnsi" w:eastAsiaTheme="minorHAnsi" w:hAnsiTheme="minorHAnsi" w:cstheme="minorBidi"/>
          <w:i/>
          <w:iCs/>
          <w:sz w:val="20"/>
          <w:szCs w:val="22"/>
          <w:lang w:eastAsia="en-US"/>
        </w:rPr>
        <w:t>stranded assets</w:t>
      </w:r>
      <w:r w:rsidR="00DC2623">
        <w:rPr>
          <w:rFonts w:asciiTheme="minorHAnsi" w:eastAsiaTheme="minorHAnsi" w:hAnsiTheme="minorHAnsi" w:cstheme="minorBidi"/>
          <w:sz w:val="20"/>
          <w:szCs w:val="22"/>
          <w:lang w:eastAsia="en-US"/>
        </w:rPr>
        <w:t>.</w:t>
      </w:r>
    </w:p>
    <w:p w14:paraId="31120AC3" w14:textId="73DA2DE4" w:rsidR="0006425F" w:rsidRDefault="0006425F">
      <w:pPr>
        <w:pStyle w:val="Normaalweb"/>
        <w:rPr>
          <w:rFonts w:asciiTheme="minorHAnsi" w:eastAsiaTheme="minorHAnsi" w:hAnsiTheme="minorHAnsi" w:cstheme="minorBidi"/>
          <w:sz w:val="20"/>
          <w:szCs w:val="22"/>
          <w:lang w:eastAsia="en-US"/>
        </w:rPr>
      </w:pPr>
      <w:r>
        <w:rPr>
          <w:rFonts w:asciiTheme="minorHAnsi" w:eastAsiaTheme="minorHAnsi" w:hAnsiTheme="minorHAnsi" w:cstheme="minorBidi"/>
          <w:sz w:val="20"/>
          <w:szCs w:val="22"/>
          <w:lang w:eastAsia="en-US"/>
        </w:rPr>
        <w:t>Daarnaast maakt de op grond van dit beleggingsbeleid verplichte diversificatie binnen de portefeuille dat duurzaamheidsrisico’s beheersbaar zijn</w:t>
      </w:r>
      <w:r w:rsidR="00780CD9">
        <w:rPr>
          <w:rFonts w:asciiTheme="minorHAnsi" w:eastAsiaTheme="minorHAnsi" w:hAnsiTheme="minorHAnsi" w:cstheme="minorBidi"/>
          <w:sz w:val="20"/>
          <w:szCs w:val="22"/>
          <w:lang w:eastAsia="en-US"/>
        </w:rPr>
        <w:t>/afgedekt zijn</w:t>
      </w:r>
      <w:r>
        <w:rPr>
          <w:rFonts w:asciiTheme="minorHAnsi" w:eastAsiaTheme="minorHAnsi" w:hAnsiTheme="minorHAnsi" w:cstheme="minorBidi"/>
          <w:sz w:val="20"/>
          <w:szCs w:val="22"/>
          <w:lang w:eastAsia="en-US"/>
        </w:rPr>
        <w:t xml:space="preserve">. </w:t>
      </w:r>
    </w:p>
    <w:p w14:paraId="6F97B99F" w14:textId="25010296" w:rsidR="00930ACF" w:rsidRDefault="00930ACF" w:rsidP="00930ACF">
      <w:pPr>
        <w:pStyle w:val="Kop3"/>
        <w:rPr>
          <w:rFonts w:hint="eastAsia"/>
          <w:lang w:val="nl-NL"/>
        </w:rPr>
      </w:pPr>
      <w:bookmarkStart w:id="60" w:name="_Toc231804782"/>
      <w:r>
        <w:rPr>
          <w:lang w:val="nl-NL"/>
        </w:rPr>
        <w:t xml:space="preserve">Afdekking van </w:t>
      </w:r>
      <w:r w:rsidR="00916BFD">
        <w:rPr>
          <w:lang w:val="nl-NL"/>
        </w:rPr>
        <w:t xml:space="preserve">dekkingsgraad en </w:t>
      </w:r>
      <w:r w:rsidR="00AC192A">
        <w:rPr>
          <w:lang w:val="nl-NL"/>
        </w:rPr>
        <w:t>kapitaalbescherming</w:t>
      </w:r>
      <w:bookmarkEnd w:id="60"/>
      <w:r>
        <w:rPr>
          <w:lang w:val="nl-NL"/>
        </w:rPr>
        <w:t xml:space="preserve"> </w:t>
      </w:r>
    </w:p>
    <w:p w14:paraId="2F39FAEF" w14:textId="6BCA1000" w:rsidR="00930ACF" w:rsidRDefault="005723CD" w:rsidP="00CC7FA4">
      <w:pPr>
        <w:pStyle w:val="Normaalweb"/>
        <w:rPr>
          <w:rFonts w:asciiTheme="minorHAnsi" w:eastAsiaTheme="minorHAnsi" w:hAnsiTheme="minorHAnsi" w:cstheme="minorBidi"/>
          <w:sz w:val="20"/>
          <w:szCs w:val="22"/>
          <w:lang w:eastAsia="en-US"/>
        </w:rPr>
      </w:pPr>
      <w:r w:rsidRPr="005723CD">
        <w:rPr>
          <w:rFonts w:asciiTheme="minorHAnsi" w:eastAsiaTheme="minorHAnsi" w:hAnsiTheme="minorHAnsi" w:cstheme="minorBidi"/>
          <w:sz w:val="20"/>
          <w:szCs w:val="22"/>
          <w:lang w:eastAsia="en-US"/>
        </w:rPr>
        <w:t>In september en oktober 2023 heeft het bestuur besloten verschillende beschermingsconstructies te onderzoeken met als doel het fonds te beschermen tegen een dalende rente en/of dalende aandelenkoersen, in het belang van alle belanghebbenden. Het bestuur had in 2023 het streven dat de dekkingsgraad niet lager mag uitkomen dan 115% in een door hun re</w:t>
      </w:r>
      <w:r w:rsidRPr="005723CD">
        <w:rPr>
          <w:rFonts w:asciiTheme="minorHAnsi" w:eastAsiaTheme="minorHAnsi" w:hAnsiTheme="minorHAnsi" w:cstheme="minorBidi" w:hint="cs"/>
          <w:sz w:val="20"/>
          <w:szCs w:val="22"/>
          <w:lang w:eastAsia="en-US"/>
        </w:rPr>
        <w:t>ë</w:t>
      </w:r>
      <w:r w:rsidRPr="005723CD">
        <w:rPr>
          <w:rFonts w:asciiTheme="minorHAnsi" w:eastAsiaTheme="minorHAnsi" w:hAnsiTheme="minorHAnsi" w:cstheme="minorBidi"/>
          <w:sz w:val="20"/>
          <w:szCs w:val="22"/>
          <w:lang w:eastAsia="en-US"/>
        </w:rPr>
        <w:t>el geschetst negatief scenario. Dit scenario betreft een rentedaling van de gehele rentecurve met 1% en een aandelen daling van 25%, waarbij andere beleggingscategorie</w:t>
      </w:r>
      <w:r w:rsidRPr="005723CD">
        <w:rPr>
          <w:rFonts w:asciiTheme="minorHAnsi" w:eastAsiaTheme="minorHAnsi" w:hAnsiTheme="minorHAnsi" w:cstheme="minorBidi" w:hint="cs"/>
          <w:sz w:val="20"/>
          <w:szCs w:val="22"/>
          <w:lang w:eastAsia="en-US"/>
        </w:rPr>
        <w:t>ë</w:t>
      </w:r>
      <w:r w:rsidRPr="005723CD">
        <w:rPr>
          <w:rFonts w:asciiTheme="minorHAnsi" w:eastAsiaTheme="minorHAnsi" w:hAnsiTheme="minorHAnsi" w:cstheme="minorBidi"/>
          <w:sz w:val="20"/>
          <w:szCs w:val="22"/>
          <w:lang w:eastAsia="en-US"/>
        </w:rPr>
        <w:t xml:space="preserve">n onveranderd blijven. </w:t>
      </w:r>
      <w:r w:rsidR="000F43D3">
        <w:rPr>
          <w:rFonts w:asciiTheme="minorHAnsi" w:eastAsiaTheme="minorHAnsi" w:hAnsiTheme="minorHAnsi" w:cstheme="minorBidi"/>
          <w:sz w:val="20"/>
          <w:szCs w:val="22"/>
          <w:lang w:eastAsia="en-US"/>
        </w:rPr>
        <w:t xml:space="preserve"> In 2024 en 2025 werde</w:t>
      </w:r>
      <w:r w:rsidR="001F1C50">
        <w:rPr>
          <w:rFonts w:asciiTheme="minorHAnsi" w:eastAsiaTheme="minorHAnsi" w:hAnsiTheme="minorHAnsi" w:cstheme="minorBidi"/>
          <w:sz w:val="20"/>
          <w:szCs w:val="22"/>
          <w:lang w:eastAsia="en-US"/>
        </w:rPr>
        <w:t xml:space="preserve">n de scenarioanalyses uitgebreid met </w:t>
      </w:r>
      <w:r w:rsidR="0068473C">
        <w:rPr>
          <w:rFonts w:asciiTheme="minorHAnsi" w:eastAsiaTheme="minorHAnsi" w:hAnsiTheme="minorHAnsi" w:cstheme="minorBidi"/>
          <w:sz w:val="20"/>
          <w:szCs w:val="22"/>
          <w:lang w:eastAsia="en-US"/>
        </w:rPr>
        <w:t>schokken op spreads</w:t>
      </w:r>
      <w:r w:rsidR="00E0718D">
        <w:rPr>
          <w:rFonts w:asciiTheme="minorHAnsi" w:eastAsiaTheme="minorHAnsi" w:hAnsiTheme="minorHAnsi" w:cstheme="minorBidi"/>
          <w:sz w:val="20"/>
          <w:szCs w:val="22"/>
          <w:lang w:eastAsia="en-US"/>
        </w:rPr>
        <w:t xml:space="preserve"> op obligaties</w:t>
      </w:r>
      <w:r w:rsidR="005125A8">
        <w:rPr>
          <w:rFonts w:asciiTheme="minorHAnsi" w:eastAsiaTheme="minorHAnsi" w:hAnsiTheme="minorHAnsi" w:cstheme="minorBidi"/>
          <w:sz w:val="20"/>
          <w:szCs w:val="22"/>
          <w:lang w:eastAsia="en-US"/>
        </w:rPr>
        <w:t>,</w:t>
      </w:r>
      <w:r w:rsidR="00F51005">
        <w:rPr>
          <w:rFonts w:asciiTheme="minorHAnsi" w:eastAsiaTheme="minorHAnsi" w:hAnsiTheme="minorHAnsi" w:cstheme="minorBidi"/>
          <w:sz w:val="20"/>
          <w:szCs w:val="22"/>
          <w:lang w:eastAsia="en-US"/>
        </w:rPr>
        <w:t xml:space="preserve"> vastgoed en</w:t>
      </w:r>
      <w:r w:rsidR="005125A8">
        <w:rPr>
          <w:rFonts w:asciiTheme="minorHAnsi" w:eastAsiaTheme="minorHAnsi" w:hAnsiTheme="minorHAnsi" w:cstheme="minorBidi"/>
          <w:sz w:val="20"/>
          <w:szCs w:val="22"/>
          <w:lang w:eastAsia="en-US"/>
        </w:rPr>
        <w:t xml:space="preserve"> </w:t>
      </w:r>
      <w:r w:rsidR="001F1C50">
        <w:rPr>
          <w:rFonts w:asciiTheme="minorHAnsi" w:eastAsiaTheme="minorHAnsi" w:hAnsiTheme="minorHAnsi" w:cstheme="minorBidi"/>
          <w:sz w:val="20"/>
          <w:szCs w:val="22"/>
          <w:lang w:eastAsia="en-US"/>
        </w:rPr>
        <w:t>bedrijfsobligaties</w:t>
      </w:r>
      <w:r w:rsidR="00F51005">
        <w:rPr>
          <w:rFonts w:asciiTheme="minorHAnsi" w:eastAsiaTheme="minorHAnsi" w:hAnsiTheme="minorHAnsi" w:cstheme="minorBidi"/>
          <w:sz w:val="20"/>
          <w:szCs w:val="22"/>
          <w:lang w:eastAsia="en-US"/>
        </w:rPr>
        <w:t>.</w:t>
      </w:r>
      <w:r w:rsidR="00161366">
        <w:rPr>
          <w:rFonts w:asciiTheme="minorHAnsi" w:eastAsiaTheme="minorHAnsi" w:hAnsiTheme="minorHAnsi" w:cstheme="minorBidi"/>
          <w:sz w:val="20"/>
          <w:szCs w:val="22"/>
          <w:lang w:eastAsia="en-US"/>
        </w:rPr>
        <w:br/>
      </w:r>
      <w:r w:rsidR="00161366">
        <w:rPr>
          <w:rFonts w:asciiTheme="minorHAnsi" w:eastAsiaTheme="minorHAnsi" w:hAnsiTheme="minorHAnsi" w:cstheme="minorBidi"/>
          <w:sz w:val="20"/>
          <w:szCs w:val="22"/>
          <w:lang w:eastAsia="en-US"/>
        </w:rPr>
        <w:br/>
      </w:r>
      <w:r w:rsidR="00161366" w:rsidRPr="00983B4C">
        <w:rPr>
          <w:rFonts w:asciiTheme="minorHAnsi" w:eastAsiaTheme="minorHAnsi" w:hAnsiTheme="minorHAnsi" w:cstheme="minorBidi"/>
          <w:sz w:val="20"/>
          <w:szCs w:val="22"/>
          <w:lang w:eastAsia="en-US"/>
        </w:rPr>
        <w:t>De sociale partners en het Bestuur hebben in</w:t>
      </w:r>
      <w:r w:rsidR="00161366">
        <w:rPr>
          <w:rFonts w:asciiTheme="minorHAnsi" w:eastAsiaTheme="minorHAnsi" w:hAnsiTheme="minorHAnsi" w:cstheme="minorBidi"/>
          <w:sz w:val="20"/>
          <w:szCs w:val="22"/>
          <w:lang w:eastAsia="en-US"/>
        </w:rPr>
        <w:t xml:space="preserve"> 2025</w:t>
      </w:r>
      <w:r w:rsidR="00161366" w:rsidRPr="00983B4C">
        <w:rPr>
          <w:rFonts w:asciiTheme="minorHAnsi" w:eastAsiaTheme="minorHAnsi" w:hAnsiTheme="minorHAnsi" w:cstheme="minorBidi"/>
          <w:sz w:val="20"/>
          <w:szCs w:val="22"/>
          <w:lang w:eastAsia="en-US"/>
        </w:rPr>
        <w:t xml:space="preserve"> overeenstemming bereikt over een aantal wijzigingen in het transitieplan, waarmee de weg is vrijgemaakt voor een intentie tot invaren. </w:t>
      </w:r>
      <w:r w:rsidR="00282291">
        <w:rPr>
          <w:rFonts w:asciiTheme="minorHAnsi" w:eastAsiaTheme="minorHAnsi" w:hAnsiTheme="minorHAnsi" w:cstheme="minorBidi"/>
          <w:sz w:val="20"/>
          <w:szCs w:val="22"/>
          <w:lang w:eastAsia="en-US"/>
        </w:rPr>
        <w:t>Door de goede financiële positie van het pensioenfonds, a</w:t>
      </w:r>
      <w:r w:rsidR="00C330CB">
        <w:rPr>
          <w:rFonts w:asciiTheme="minorHAnsi" w:eastAsiaTheme="minorHAnsi" w:hAnsiTheme="minorHAnsi" w:cstheme="minorBidi"/>
          <w:sz w:val="20"/>
          <w:szCs w:val="22"/>
          <w:lang w:eastAsia="en-US"/>
        </w:rPr>
        <w:t>fgemeten aan de dekkingsgraad</w:t>
      </w:r>
      <w:r w:rsidR="001A7227">
        <w:rPr>
          <w:rFonts w:asciiTheme="minorHAnsi" w:eastAsiaTheme="minorHAnsi" w:hAnsiTheme="minorHAnsi" w:cstheme="minorBidi"/>
          <w:sz w:val="20"/>
          <w:szCs w:val="22"/>
          <w:lang w:eastAsia="en-US"/>
        </w:rPr>
        <w:t>,</w:t>
      </w:r>
      <w:r w:rsidR="00C330CB">
        <w:rPr>
          <w:rFonts w:asciiTheme="minorHAnsi" w:eastAsiaTheme="minorHAnsi" w:hAnsiTheme="minorHAnsi" w:cstheme="minorBidi"/>
          <w:sz w:val="20"/>
          <w:szCs w:val="22"/>
          <w:lang w:eastAsia="en-US"/>
        </w:rPr>
        <w:t xml:space="preserve"> </w:t>
      </w:r>
      <w:r w:rsidR="001A7227">
        <w:rPr>
          <w:rFonts w:asciiTheme="minorHAnsi" w:eastAsiaTheme="minorHAnsi" w:hAnsiTheme="minorHAnsi" w:cstheme="minorBidi"/>
          <w:sz w:val="20"/>
          <w:szCs w:val="22"/>
          <w:lang w:eastAsia="en-US"/>
        </w:rPr>
        <w:t>h</w:t>
      </w:r>
      <w:r w:rsidR="00282291">
        <w:rPr>
          <w:rFonts w:asciiTheme="minorHAnsi" w:eastAsiaTheme="minorHAnsi" w:hAnsiTheme="minorHAnsi" w:cstheme="minorBidi"/>
          <w:sz w:val="20"/>
          <w:szCs w:val="22"/>
          <w:lang w:eastAsia="en-US"/>
        </w:rPr>
        <w:t>eeft</w:t>
      </w:r>
      <w:r w:rsidR="00161366" w:rsidRPr="00983B4C">
        <w:rPr>
          <w:rFonts w:asciiTheme="minorHAnsi" w:eastAsiaTheme="minorHAnsi" w:hAnsiTheme="minorHAnsi" w:cstheme="minorBidi"/>
          <w:sz w:val="20"/>
          <w:szCs w:val="22"/>
          <w:lang w:eastAsia="en-US"/>
        </w:rPr>
        <w:t>.</w:t>
      </w:r>
      <w:r w:rsidR="00282291">
        <w:rPr>
          <w:rFonts w:asciiTheme="minorHAnsi" w:eastAsiaTheme="minorHAnsi" w:hAnsiTheme="minorHAnsi" w:cstheme="minorBidi"/>
          <w:sz w:val="20"/>
          <w:szCs w:val="22"/>
          <w:lang w:eastAsia="en-US"/>
        </w:rPr>
        <w:t>h</w:t>
      </w:r>
      <w:r w:rsidR="00161366" w:rsidRPr="00983B4C">
        <w:rPr>
          <w:rFonts w:asciiTheme="minorHAnsi" w:eastAsiaTheme="minorHAnsi" w:hAnsiTheme="minorHAnsi" w:cstheme="minorBidi"/>
          <w:sz w:val="20"/>
          <w:szCs w:val="22"/>
          <w:lang w:eastAsia="en-US"/>
        </w:rPr>
        <w:t xml:space="preserve">et Bestuur wens en het voornemen dit najaar uitgesproken om de dekkingsgraad </w:t>
      </w:r>
      <w:r w:rsidR="00161366" w:rsidRPr="00983B4C">
        <w:rPr>
          <w:rFonts w:asciiTheme="minorHAnsi" w:eastAsiaTheme="minorHAnsi" w:hAnsiTheme="minorHAnsi" w:cstheme="minorBidi" w:hint="cs"/>
          <w:sz w:val="20"/>
          <w:szCs w:val="22"/>
          <w:lang w:eastAsia="en-US"/>
        </w:rPr>
        <w:t>é</w:t>
      </w:r>
      <w:r w:rsidR="00161366" w:rsidRPr="00983B4C">
        <w:rPr>
          <w:rFonts w:asciiTheme="minorHAnsi" w:eastAsiaTheme="minorHAnsi" w:hAnsiTheme="minorHAnsi" w:cstheme="minorBidi"/>
          <w:sz w:val="20"/>
          <w:szCs w:val="22"/>
          <w:lang w:eastAsia="en-US"/>
        </w:rPr>
        <w:t xml:space="preserve">n waar mogelijk, ook het kapitaal te beschermen in aanloop naar het nieuwe pensioenstelsel, op 1 januari 2028 (invaardatum). </w:t>
      </w:r>
      <w:r w:rsidR="009B6F2E" w:rsidRPr="009B6F2E">
        <w:rPr>
          <w:rFonts w:asciiTheme="minorHAnsi" w:eastAsiaTheme="minorHAnsi" w:hAnsiTheme="minorHAnsi" w:cstheme="minorBidi"/>
          <w:sz w:val="20"/>
          <w:szCs w:val="22"/>
          <w:lang w:eastAsia="en-US"/>
        </w:rPr>
        <w:t>Uitgangspunt is de minimale invaardekkingsgraad (i.c. 115%-120%) zoveel als mogelijk zeker te stellen.</w:t>
      </w:r>
      <w:r w:rsidR="009B6F2E">
        <w:rPr>
          <w:rFonts w:asciiTheme="minorHAnsi" w:eastAsiaTheme="minorHAnsi" w:hAnsiTheme="minorHAnsi" w:cstheme="minorBidi"/>
          <w:sz w:val="20"/>
          <w:szCs w:val="22"/>
          <w:lang w:eastAsia="en-US"/>
        </w:rPr>
        <w:t xml:space="preserve"> </w:t>
      </w:r>
      <w:r w:rsidR="00161366" w:rsidRPr="00983B4C">
        <w:rPr>
          <w:rFonts w:asciiTheme="minorHAnsi" w:eastAsiaTheme="minorHAnsi" w:hAnsiTheme="minorHAnsi" w:cstheme="minorBidi"/>
          <w:sz w:val="20"/>
          <w:szCs w:val="22"/>
          <w:lang w:eastAsia="en-US"/>
        </w:rPr>
        <w:t>Het doel hiervan is onder andere om de toedeling van gelden conform de voorrangsregels naar diverse doelgroepen te beschermen: naast de operationele reserve ook de risicodelingsreserve, de compensatie voor de afschaffing van de doorsneepremiesystematiek en de gerichte toedeling. We volgen bij het onderzoek de de-risking guidelines voorafgaand aan invaren van DNB omtrent het risicoprofiel en het beleggingsbeleid.</w:t>
      </w:r>
      <w:r w:rsidR="00161366">
        <w:rPr>
          <w:rFonts w:asciiTheme="minorHAnsi" w:eastAsiaTheme="minorHAnsi" w:hAnsiTheme="minorHAnsi" w:cstheme="minorBidi"/>
          <w:sz w:val="20"/>
          <w:szCs w:val="22"/>
          <w:lang w:eastAsia="en-US"/>
        </w:rPr>
        <w:br/>
      </w:r>
      <w:r w:rsidRPr="005723CD">
        <w:rPr>
          <w:rFonts w:asciiTheme="minorHAnsi" w:eastAsiaTheme="minorHAnsi" w:hAnsiTheme="minorHAnsi" w:cstheme="minorBidi"/>
          <w:sz w:val="20"/>
          <w:szCs w:val="22"/>
          <w:lang w:eastAsia="en-US"/>
        </w:rPr>
        <w:t>E</w:t>
      </w:r>
      <w:r w:rsidRPr="005723CD">
        <w:rPr>
          <w:rFonts w:asciiTheme="minorHAnsi" w:eastAsiaTheme="minorHAnsi" w:hAnsiTheme="minorHAnsi" w:cstheme="minorBidi" w:hint="cs"/>
          <w:sz w:val="20"/>
          <w:szCs w:val="22"/>
          <w:lang w:eastAsia="en-US"/>
        </w:rPr>
        <w:t>é</w:t>
      </w:r>
      <w:r w:rsidRPr="005723CD">
        <w:rPr>
          <w:rFonts w:asciiTheme="minorHAnsi" w:eastAsiaTheme="minorHAnsi" w:hAnsiTheme="minorHAnsi" w:cstheme="minorBidi"/>
          <w:sz w:val="20"/>
          <w:szCs w:val="22"/>
          <w:lang w:eastAsia="en-US"/>
        </w:rPr>
        <w:t>n van de mogelijke maatregelen in het kader van risicomitigatie is de verhoging van de renteafdekking.</w:t>
      </w:r>
      <w:r w:rsidR="00FD4758">
        <w:rPr>
          <w:rFonts w:asciiTheme="minorHAnsi" w:eastAsiaTheme="minorHAnsi" w:hAnsiTheme="minorHAnsi" w:cstheme="minorBidi"/>
          <w:sz w:val="20"/>
          <w:szCs w:val="22"/>
          <w:lang w:eastAsia="en-US"/>
        </w:rPr>
        <w:t xml:space="preserve"> </w:t>
      </w:r>
      <w:r w:rsidR="00FD4758" w:rsidRPr="00FD4758">
        <w:rPr>
          <w:rFonts w:asciiTheme="minorHAnsi" w:eastAsiaTheme="minorHAnsi" w:hAnsiTheme="minorHAnsi" w:cstheme="minorBidi"/>
          <w:sz w:val="20"/>
          <w:szCs w:val="22"/>
          <w:lang w:eastAsia="en-US"/>
        </w:rPr>
        <w:t>Het renterisico van het fonds wordt middels de Matching portefeuille (deels) gemitigeerd met gebruikmaking van vastgestelde bandbreedtes.</w:t>
      </w:r>
      <w:r w:rsidR="009404E0">
        <w:rPr>
          <w:rFonts w:asciiTheme="minorHAnsi" w:eastAsiaTheme="minorHAnsi" w:hAnsiTheme="minorHAnsi" w:cstheme="minorBidi"/>
          <w:sz w:val="20"/>
          <w:szCs w:val="22"/>
          <w:lang w:eastAsia="en-US"/>
        </w:rPr>
        <w:t xml:space="preserve"> </w:t>
      </w:r>
      <w:r w:rsidR="00FD4758" w:rsidRPr="00FD4758">
        <w:rPr>
          <w:rFonts w:asciiTheme="minorHAnsi" w:eastAsiaTheme="minorHAnsi" w:hAnsiTheme="minorHAnsi" w:cstheme="minorBidi"/>
          <w:sz w:val="20"/>
          <w:szCs w:val="22"/>
          <w:lang w:eastAsia="en-US"/>
        </w:rPr>
        <w:t xml:space="preserve">Bij een mogelijke verhoging van de </w:t>
      </w:r>
      <w:r w:rsidR="00FD4758" w:rsidRPr="00FD4758">
        <w:rPr>
          <w:rFonts w:asciiTheme="minorHAnsi" w:eastAsiaTheme="minorHAnsi" w:hAnsiTheme="minorHAnsi" w:cstheme="minorBidi"/>
          <w:sz w:val="20"/>
          <w:szCs w:val="22"/>
          <w:lang w:eastAsia="en-US"/>
        </w:rPr>
        <w:lastRenderedPageBreak/>
        <w:t>renteafdekking is de executie in principe niet afwijkend van het dagelijkse beheer van de portefeuille</w:t>
      </w:r>
      <w:r w:rsidR="00983B4C">
        <w:rPr>
          <w:rFonts w:asciiTheme="minorHAnsi" w:eastAsiaTheme="minorHAnsi" w:hAnsiTheme="minorHAnsi" w:cstheme="minorBidi"/>
          <w:sz w:val="20"/>
          <w:szCs w:val="22"/>
          <w:lang w:eastAsia="en-US"/>
        </w:rPr>
        <w:br/>
      </w:r>
      <w:r w:rsidR="00983B4C">
        <w:rPr>
          <w:rFonts w:asciiTheme="minorHAnsi" w:eastAsiaTheme="minorHAnsi" w:hAnsiTheme="minorHAnsi" w:cstheme="minorBidi"/>
          <w:sz w:val="20"/>
          <w:szCs w:val="22"/>
          <w:lang w:eastAsia="en-US"/>
        </w:rPr>
        <w:br/>
      </w:r>
      <w:r w:rsidR="00E609E0">
        <w:rPr>
          <w:rFonts w:asciiTheme="minorHAnsi" w:eastAsiaTheme="minorHAnsi" w:hAnsiTheme="minorHAnsi" w:cstheme="minorBidi"/>
          <w:sz w:val="20"/>
          <w:szCs w:val="22"/>
          <w:lang w:eastAsia="en-US"/>
        </w:rPr>
        <w:t>Een ander maatregel is het neerwaarts risico van aandelen te mi</w:t>
      </w:r>
      <w:r w:rsidR="000E63D9">
        <w:rPr>
          <w:rFonts w:asciiTheme="minorHAnsi" w:eastAsiaTheme="minorHAnsi" w:hAnsiTheme="minorHAnsi" w:cstheme="minorBidi"/>
          <w:sz w:val="20"/>
          <w:szCs w:val="22"/>
          <w:lang w:eastAsia="en-US"/>
        </w:rPr>
        <w:t xml:space="preserve">tigeren en daarmee het kapitaal van het merendeel van de Return portefeuille te beschermen. </w:t>
      </w:r>
      <w:r w:rsidR="009A2134">
        <w:rPr>
          <w:rFonts w:asciiTheme="minorHAnsi" w:eastAsiaTheme="minorHAnsi" w:hAnsiTheme="minorHAnsi" w:cstheme="minorBidi"/>
          <w:sz w:val="20"/>
          <w:szCs w:val="22"/>
          <w:lang w:eastAsia="en-US"/>
        </w:rPr>
        <w:t>Hierbij wordt gedacht aan</w:t>
      </w:r>
      <w:r w:rsidR="009A2134" w:rsidRPr="0026707A">
        <w:rPr>
          <w:rFonts w:asciiTheme="minorHAnsi" w:eastAsiaTheme="minorHAnsi" w:hAnsiTheme="minorHAnsi" w:cstheme="minorBidi"/>
          <w:sz w:val="20"/>
          <w:szCs w:val="22"/>
          <w:lang w:eastAsia="en-US"/>
        </w:rPr>
        <w:t xml:space="preserve"> het kopen van een put</w:t>
      </w:r>
      <w:r w:rsidR="00271A72">
        <w:rPr>
          <w:rFonts w:asciiTheme="minorHAnsi" w:eastAsiaTheme="minorHAnsi" w:hAnsiTheme="minorHAnsi" w:cstheme="minorBidi"/>
          <w:sz w:val="20"/>
          <w:szCs w:val="22"/>
          <w:lang w:eastAsia="en-US"/>
        </w:rPr>
        <w:t xml:space="preserve"> optie of</w:t>
      </w:r>
      <w:r w:rsidR="009A2134" w:rsidRPr="0026707A">
        <w:rPr>
          <w:rFonts w:asciiTheme="minorHAnsi" w:eastAsiaTheme="minorHAnsi" w:hAnsiTheme="minorHAnsi" w:cstheme="minorBidi"/>
          <w:sz w:val="20"/>
          <w:szCs w:val="22"/>
          <w:lang w:eastAsia="en-US"/>
        </w:rPr>
        <w:t xml:space="preserve"> </w:t>
      </w:r>
      <w:r w:rsidR="00E36F1F">
        <w:rPr>
          <w:rFonts w:asciiTheme="minorHAnsi" w:eastAsiaTheme="minorHAnsi" w:hAnsiTheme="minorHAnsi" w:cstheme="minorBidi"/>
          <w:sz w:val="20"/>
          <w:szCs w:val="22"/>
          <w:lang w:eastAsia="en-US"/>
        </w:rPr>
        <w:t>een</w:t>
      </w:r>
      <w:r w:rsidR="009A2134" w:rsidRPr="0026707A">
        <w:rPr>
          <w:rFonts w:asciiTheme="minorHAnsi" w:eastAsiaTheme="minorHAnsi" w:hAnsiTheme="minorHAnsi" w:cstheme="minorBidi"/>
          <w:sz w:val="20"/>
          <w:szCs w:val="22"/>
          <w:lang w:eastAsia="en-US"/>
        </w:rPr>
        <w:t xml:space="preserve"> </w:t>
      </w:r>
      <w:r w:rsidR="00271A72">
        <w:rPr>
          <w:rFonts w:asciiTheme="minorHAnsi" w:eastAsiaTheme="minorHAnsi" w:hAnsiTheme="minorHAnsi" w:cstheme="minorBidi"/>
          <w:sz w:val="20"/>
          <w:szCs w:val="22"/>
          <w:lang w:eastAsia="en-US"/>
        </w:rPr>
        <w:t xml:space="preserve">eventuele </w:t>
      </w:r>
      <w:r w:rsidR="009A2134" w:rsidRPr="0026707A">
        <w:rPr>
          <w:rFonts w:asciiTheme="minorHAnsi" w:eastAsiaTheme="minorHAnsi" w:hAnsiTheme="minorHAnsi" w:cstheme="minorBidi"/>
          <w:sz w:val="20"/>
          <w:szCs w:val="22"/>
          <w:lang w:eastAsia="en-US"/>
        </w:rPr>
        <w:t>collar constructie.</w:t>
      </w:r>
      <w:r w:rsidR="00E36F1F">
        <w:rPr>
          <w:rFonts w:asciiTheme="minorHAnsi" w:eastAsiaTheme="minorHAnsi" w:hAnsiTheme="minorHAnsi" w:cstheme="minorBidi"/>
          <w:sz w:val="20"/>
          <w:szCs w:val="22"/>
          <w:lang w:eastAsia="en-US"/>
        </w:rPr>
        <w:t xml:space="preserve"> </w:t>
      </w:r>
      <w:r w:rsidR="00577505" w:rsidRPr="007A2B79">
        <w:rPr>
          <w:rFonts w:asciiTheme="minorHAnsi" w:eastAsiaTheme="minorHAnsi" w:hAnsiTheme="minorHAnsi" w:cstheme="minorBidi"/>
          <w:sz w:val="20"/>
          <w:szCs w:val="22"/>
          <w:lang w:eastAsia="en-US"/>
        </w:rPr>
        <w:t>De andere beleggingscategorie</w:t>
      </w:r>
      <w:r w:rsidR="00577505" w:rsidRPr="007A2B79">
        <w:rPr>
          <w:rFonts w:asciiTheme="minorHAnsi" w:eastAsiaTheme="minorHAnsi" w:hAnsiTheme="minorHAnsi" w:cstheme="minorBidi" w:hint="cs"/>
          <w:sz w:val="20"/>
          <w:szCs w:val="22"/>
          <w:lang w:eastAsia="en-US"/>
        </w:rPr>
        <w:t>ë</w:t>
      </w:r>
      <w:r w:rsidR="00577505" w:rsidRPr="007A2B79">
        <w:rPr>
          <w:rFonts w:asciiTheme="minorHAnsi" w:eastAsiaTheme="minorHAnsi" w:hAnsiTheme="minorHAnsi" w:cstheme="minorBidi"/>
          <w:sz w:val="20"/>
          <w:szCs w:val="22"/>
          <w:lang w:eastAsia="en-US"/>
        </w:rPr>
        <w:t>n (i.c. bedrijfsobligaties en direct vastgoed) in de Return portefeuille worden niet beschermd, omdat deze niet af te dekken zijn en/of een relatief kleine allocatie in de totale portefeuille hebben</w:t>
      </w:r>
      <w:r w:rsidR="00577505">
        <w:rPr>
          <w:rFonts w:asciiTheme="minorHAnsi" w:eastAsiaTheme="minorHAnsi" w:hAnsiTheme="minorHAnsi" w:cstheme="minorBidi"/>
          <w:sz w:val="20"/>
          <w:szCs w:val="22"/>
          <w:lang w:eastAsia="en-US"/>
        </w:rPr>
        <w:t>. Met de bescherming van de aandelenportefeuille wordt zowel de dekkingsgraad als het kapitaal</w:t>
      </w:r>
      <w:r w:rsidR="002F30B6">
        <w:rPr>
          <w:rFonts w:asciiTheme="minorHAnsi" w:eastAsiaTheme="minorHAnsi" w:hAnsiTheme="minorHAnsi" w:cstheme="minorBidi"/>
          <w:sz w:val="20"/>
          <w:szCs w:val="22"/>
          <w:lang w:eastAsia="en-US"/>
        </w:rPr>
        <w:t xml:space="preserve"> beschermd, omdat </w:t>
      </w:r>
      <w:r w:rsidR="00BD4857">
        <w:rPr>
          <w:rFonts w:asciiTheme="minorHAnsi" w:eastAsiaTheme="minorHAnsi" w:hAnsiTheme="minorHAnsi" w:cstheme="minorBidi"/>
          <w:sz w:val="20"/>
          <w:szCs w:val="22"/>
          <w:lang w:eastAsia="en-US"/>
        </w:rPr>
        <w:t xml:space="preserve">de beweging van de aandelenkoersen dezelfde </w:t>
      </w:r>
      <w:r w:rsidR="00A529FD">
        <w:rPr>
          <w:rFonts w:asciiTheme="minorHAnsi" w:eastAsiaTheme="minorHAnsi" w:hAnsiTheme="minorHAnsi" w:cstheme="minorBidi"/>
          <w:sz w:val="20"/>
          <w:szCs w:val="22"/>
          <w:lang w:eastAsia="en-US"/>
        </w:rPr>
        <w:t xml:space="preserve">richting </w:t>
      </w:r>
      <w:r w:rsidR="00BD4857">
        <w:rPr>
          <w:rFonts w:asciiTheme="minorHAnsi" w:eastAsiaTheme="minorHAnsi" w:hAnsiTheme="minorHAnsi" w:cstheme="minorBidi"/>
          <w:sz w:val="20"/>
          <w:szCs w:val="22"/>
          <w:lang w:eastAsia="en-US"/>
        </w:rPr>
        <w:t xml:space="preserve"> heeft</w:t>
      </w:r>
      <w:r w:rsidR="00A529FD">
        <w:rPr>
          <w:rFonts w:asciiTheme="minorHAnsi" w:eastAsiaTheme="minorHAnsi" w:hAnsiTheme="minorHAnsi" w:cstheme="minorBidi"/>
          <w:sz w:val="20"/>
          <w:szCs w:val="22"/>
          <w:lang w:eastAsia="en-US"/>
        </w:rPr>
        <w:t xml:space="preserve"> als de dekkingsgraad</w:t>
      </w:r>
      <w:r w:rsidR="00C1701C">
        <w:rPr>
          <w:rFonts w:asciiTheme="minorHAnsi" w:eastAsiaTheme="minorHAnsi" w:hAnsiTheme="minorHAnsi" w:cstheme="minorBidi"/>
          <w:sz w:val="20"/>
          <w:szCs w:val="22"/>
          <w:lang w:eastAsia="en-US"/>
        </w:rPr>
        <w:t>.</w:t>
      </w:r>
      <w:r w:rsidR="00E36F1F">
        <w:rPr>
          <w:rFonts w:asciiTheme="minorHAnsi" w:eastAsiaTheme="minorHAnsi" w:hAnsiTheme="minorHAnsi" w:cstheme="minorBidi"/>
          <w:sz w:val="20"/>
          <w:szCs w:val="22"/>
          <w:lang w:eastAsia="en-US"/>
        </w:rPr>
        <w:t xml:space="preserve"> </w:t>
      </w:r>
      <w:r w:rsidR="006306BE">
        <w:rPr>
          <w:rFonts w:asciiTheme="minorHAnsi" w:eastAsiaTheme="minorHAnsi" w:hAnsiTheme="minorHAnsi" w:cstheme="minorBidi"/>
          <w:sz w:val="20"/>
          <w:szCs w:val="22"/>
          <w:lang w:eastAsia="en-US"/>
        </w:rPr>
        <w:t xml:space="preserve">Als gevolg van </w:t>
      </w:r>
      <w:r w:rsidR="00157F4D">
        <w:rPr>
          <w:rFonts w:asciiTheme="minorHAnsi" w:eastAsiaTheme="minorHAnsi" w:hAnsiTheme="minorHAnsi" w:cstheme="minorBidi"/>
          <w:sz w:val="20"/>
          <w:szCs w:val="22"/>
          <w:lang w:eastAsia="en-US"/>
        </w:rPr>
        <w:t xml:space="preserve"> de aandelenbescherming is </w:t>
      </w:r>
      <w:r w:rsidR="006306BE">
        <w:rPr>
          <w:rFonts w:asciiTheme="minorHAnsi" w:eastAsiaTheme="minorHAnsi" w:hAnsiTheme="minorHAnsi" w:cstheme="minorBidi"/>
          <w:sz w:val="20"/>
          <w:szCs w:val="22"/>
          <w:lang w:eastAsia="en-US"/>
        </w:rPr>
        <w:t xml:space="preserve">de </w:t>
      </w:r>
      <w:r w:rsidR="005806C0">
        <w:rPr>
          <w:rFonts w:asciiTheme="minorHAnsi" w:eastAsiaTheme="minorHAnsi" w:hAnsiTheme="minorHAnsi" w:cstheme="minorBidi"/>
          <w:sz w:val="20"/>
          <w:szCs w:val="22"/>
          <w:lang w:eastAsia="en-US"/>
        </w:rPr>
        <w:t xml:space="preserve">ondergrens van de </w:t>
      </w:r>
      <w:r w:rsidR="004C1D53">
        <w:rPr>
          <w:rFonts w:asciiTheme="minorHAnsi" w:eastAsiaTheme="minorHAnsi" w:hAnsiTheme="minorHAnsi" w:cstheme="minorBidi"/>
          <w:sz w:val="20"/>
          <w:szCs w:val="22"/>
          <w:lang w:eastAsia="en-US"/>
        </w:rPr>
        <w:t>risicobuffer</w:t>
      </w:r>
      <w:r w:rsidR="003D22FA">
        <w:rPr>
          <w:rFonts w:asciiTheme="minorHAnsi" w:eastAsiaTheme="minorHAnsi" w:hAnsiTheme="minorHAnsi" w:cstheme="minorBidi"/>
          <w:sz w:val="20"/>
          <w:szCs w:val="22"/>
          <w:lang w:eastAsia="en-US"/>
        </w:rPr>
        <w:t>eis</w:t>
      </w:r>
      <w:r w:rsidR="004C1D53">
        <w:rPr>
          <w:rFonts w:asciiTheme="minorHAnsi" w:eastAsiaTheme="minorHAnsi" w:hAnsiTheme="minorHAnsi" w:cstheme="minorBidi"/>
          <w:sz w:val="20"/>
          <w:szCs w:val="22"/>
          <w:lang w:eastAsia="en-US"/>
        </w:rPr>
        <w:t xml:space="preserve"> (“VE</w:t>
      </w:r>
      <w:r w:rsidR="005806C0">
        <w:rPr>
          <w:rFonts w:asciiTheme="minorHAnsi" w:eastAsiaTheme="minorHAnsi" w:hAnsiTheme="minorHAnsi" w:cstheme="minorBidi"/>
          <w:sz w:val="20"/>
          <w:szCs w:val="22"/>
          <w:lang w:eastAsia="en-US"/>
        </w:rPr>
        <w:t>V</w:t>
      </w:r>
      <w:r w:rsidR="004C1D53">
        <w:rPr>
          <w:rFonts w:asciiTheme="minorHAnsi" w:eastAsiaTheme="minorHAnsi" w:hAnsiTheme="minorHAnsi" w:cstheme="minorBidi"/>
          <w:sz w:val="20"/>
          <w:szCs w:val="22"/>
          <w:lang w:eastAsia="en-US"/>
        </w:rPr>
        <w:t>”)</w:t>
      </w:r>
      <w:r w:rsidR="005806C0">
        <w:rPr>
          <w:rFonts w:asciiTheme="minorHAnsi" w:eastAsiaTheme="minorHAnsi" w:hAnsiTheme="minorHAnsi" w:cstheme="minorBidi"/>
          <w:sz w:val="20"/>
          <w:szCs w:val="22"/>
          <w:lang w:eastAsia="en-US"/>
        </w:rPr>
        <w:t xml:space="preserve"> tijdelijk verlaagd </w:t>
      </w:r>
      <w:r w:rsidR="006306BE">
        <w:rPr>
          <w:rFonts w:asciiTheme="minorHAnsi" w:eastAsiaTheme="minorHAnsi" w:hAnsiTheme="minorHAnsi" w:cstheme="minorBidi"/>
          <w:sz w:val="20"/>
          <w:szCs w:val="22"/>
          <w:lang w:eastAsia="en-US"/>
        </w:rPr>
        <w:t>naar</w:t>
      </w:r>
      <w:r w:rsidR="005806C0">
        <w:rPr>
          <w:rFonts w:asciiTheme="minorHAnsi" w:eastAsiaTheme="minorHAnsi" w:hAnsiTheme="minorHAnsi" w:cstheme="minorBidi"/>
          <w:sz w:val="20"/>
          <w:szCs w:val="22"/>
          <w:lang w:eastAsia="en-US"/>
        </w:rPr>
        <w:t xml:space="preserve"> 10%.</w:t>
      </w:r>
      <w:r w:rsidR="00A529FD">
        <w:rPr>
          <w:rFonts w:asciiTheme="minorHAnsi" w:eastAsiaTheme="minorHAnsi" w:hAnsiTheme="minorHAnsi" w:cstheme="minorBidi"/>
          <w:sz w:val="20"/>
          <w:szCs w:val="22"/>
          <w:lang w:eastAsia="en-US"/>
        </w:rPr>
        <w:t xml:space="preserve"> </w:t>
      </w:r>
      <w:r w:rsidR="009404E0">
        <w:rPr>
          <w:rFonts w:asciiTheme="minorHAnsi" w:eastAsiaTheme="minorHAnsi" w:hAnsiTheme="minorHAnsi" w:cstheme="minorBidi"/>
          <w:sz w:val="20"/>
          <w:szCs w:val="22"/>
          <w:lang w:eastAsia="en-US"/>
        </w:rPr>
        <w:br/>
      </w:r>
    </w:p>
    <w:p w14:paraId="2B19618D" w14:textId="269FB02F" w:rsidR="00795D82" w:rsidRPr="00795D82" w:rsidRDefault="00795D82" w:rsidP="00795D82">
      <w:pPr>
        <w:pStyle w:val="Kop2"/>
        <w:rPr>
          <w:rFonts w:hint="eastAsia"/>
          <w:lang w:val="nl-NL"/>
        </w:rPr>
      </w:pPr>
      <w:bookmarkStart w:id="61" w:name="_Toc231804783"/>
      <w:r w:rsidRPr="00795D82">
        <w:rPr>
          <w:lang w:val="nl-NL"/>
        </w:rPr>
        <w:t>Benchmarks en (integrale) vermogensbeheerkosten</w:t>
      </w:r>
      <w:bookmarkEnd w:id="61"/>
    </w:p>
    <w:p w14:paraId="07C036F1" w14:textId="77777777" w:rsidR="00795D82" w:rsidRDefault="00795D82" w:rsidP="00795D82">
      <w:pPr>
        <w:rPr>
          <w:lang w:val="nl-NL"/>
        </w:rPr>
      </w:pPr>
    </w:p>
    <w:p w14:paraId="01BBFA24" w14:textId="4A779F18" w:rsidR="00F33828" w:rsidRDefault="00795D82" w:rsidP="00795D82">
      <w:pPr>
        <w:rPr>
          <w:lang w:val="nl-NL"/>
        </w:rPr>
      </w:pPr>
      <w:r w:rsidRPr="00795D82">
        <w:rPr>
          <w:lang w:val="nl-NL"/>
        </w:rPr>
        <w:t>Voor de vergelijking van de portefeuille zijn de navolgende v</w:t>
      </w:r>
      <w:r w:rsidR="00F33828">
        <w:rPr>
          <w:lang w:val="nl-NL"/>
        </w:rPr>
        <w:t>ergelijkingsindices vastgesteld:</w:t>
      </w:r>
    </w:p>
    <w:p w14:paraId="7408716C" w14:textId="6A1F39D4" w:rsidR="0042509E" w:rsidRPr="00795D82" w:rsidRDefault="0042509E" w:rsidP="00795D82">
      <w:pPr>
        <w:rPr>
          <w:lang w:val="nl-NL"/>
        </w:rPr>
      </w:pPr>
    </w:p>
    <w:tbl>
      <w:tblPr>
        <w:tblStyle w:val="Tabelraster"/>
        <w:tblW w:w="0" w:type="auto"/>
        <w:tblBorders>
          <w:top w:val="single" w:sz="4" w:space="0" w:color="00AFD2" w:themeColor="accent1"/>
          <w:left w:val="single" w:sz="4" w:space="0" w:color="00AFD2" w:themeColor="accent1"/>
          <w:bottom w:val="single" w:sz="4" w:space="0" w:color="00AFD2" w:themeColor="accent1"/>
          <w:right w:val="single" w:sz="4" w:space="0" w:color="00AFD2" w:themeColor="accent1"/>
          <w:insideH w:val="single" w:sz="4" w:space="0" w:color="00AFD2" w:themeColor="accent1"/>
          <w:insideV w:val="single" w:sz="4" w:space="0" w:color="00AFD2" w:themeColor="accent1"/>
        </w:tblBorders>
        <w:tblLook w:val="04A0" w:firstRow="1" w:lastRow="0" w:firstColumn="1" w:lastColumn="0" w:noHBand="0" w:noVBand="1"/>
      </w:tblPr>
      <w:tblGrid>
        <w:gridCol w:w="3256"/>
        <w:gridCol w:w="5805"/>
      </w:tblGrid>
      <w:tr w:rsidR="0042509E" w:rsidRPr="00FC79E8" w14:paraId="7169A4F7" w14:textId="77777777" w:rsidTr="00B543E4">
        <w:tc>
          <w:tcPr>
            <w:tcW w:w="3256" w:type="dxa"/>
            <w:tcBorders>
              <w:top w:val="single" w:sz="4" w:space="0" w:color="00AFD2" w:themeColor="accent1"/>
              <w:left w:val="single" w:sz="4" w:space="0" w:color="00AFD2" w:themeColor="accent1"/>
              <w:bottom w:val="single" w:sz="4" w:space="0" w:color="00AFD2" w:themeColor="accent1"/>
              <w:right w:val="single" w:sz="4" w:space="0" w:color="00AFD2" w:themeColor="accent1"/>
            </w:tcBorders>
            <w:shd w:val="clear" w:color="auto" w:fill="00AFD2" w:themeFill="accent1"/>
          </w:tcPr>
          <w:p w14:paraId="02F42D15" w14:textId="697ECCFE" w:rsidR="0042509E" w:rsidRDefault="00FC79E8">
            <w:pPr>
              <w:spacing w:before="20" w:after="20"/>
              <w:rPr>
                <w:b/>
                <w:color w:val="FFFFFF" w:themeColor="background1"/>
                <w:lang w:val="nl-NL"/>
              </w:rPr>
            </w:pPr>
            <w:r>
              <w:rPr>
                <w:b/>
                <w:color w:val="FFFFFF" w:themeColor="background1"/>
                <w:lang w:val="nl-NL"/>
              </w:rPr>
              <w:t>Portefeuille</w:t>
            </w:r>
          </w:p>
        </w:tc>
        <w:tc>
          <w:tcPr>
            <w:tcW w:w="5805" w:type="dxa"/>
            <w:tcBorders>
              <w:top w:val="single" w:sz="4" w:space="0" w:color="00AFD2" w:themeColor="accent1"/>
              <w:left w:val="single" w:sz="4" w:space="0" w:color="00AFD2" w:themeColor="accent1"/>
              <w:bottom w:val="single" w:sz="4" w:space="0" w:color="00AFD2" w:themeColor="accent1"/>
              <w:right w:val="single" w:sz="4" w:space="0" w:color="00AFD2" w:themeColor="accent1"/>
            </w:tcBorders>
            <w:shd w:val="clear" w:color="auto" w:fill="00AFD2" w:themeFill="accent1"/>
          </w:tcPr>
          <w:p w14:paraId="6C722105" w14:textId="479D1F0C" w:rsidR="0042509E" w:rsidRPr="00C6025F" w:rsidRDefault="00FC79E8">
            <w:pPr>
              <w:spacing w:before="20" w:after="20"/>
              <w:rPr>
                <w:b/>
                <w:color w:val="FFFFFF" w:themeColor="background1"/>
              </w:rPr>
            </w:pPr>
            <w:r w:rsidRPr="00C6025F">
              <w:rPr>
                <w:b/>
                <w:color w:val="FFFFFF" w:themeColor="background1"/>
              </w:rPr>
              <w:t>Benchmark (Total Return Net Of Fee)</w:t>
            </w:r>
          </w:p>
        </w:tc>
      </w:tr>
      <w:tr w:rsidR="0042509E" w:rsidRPr="000A7159" w14:paraId="74405D8B" w14:textId="77777777" w:rsidTr="00B543E4">
        <w:tc>
          <w:tcPr>
            <w:tcW w:w="3256" w:type="dxa"/>
            <w:tcBorders>
              <w:top w:val="single" w:sz="4" w:space="0" w:color="00AFD2" w:themeColor="accent1"/>
              <w:left w:val="single" w:sz="4" w:space="0" w:color="00AFD2" w:themeColor="accent1"/>
              <w:bottom w:val="single" w:sz="4" w:space="0" w:color="00AFD2" w:themeColor="accent1"/>
              <w:right w:val="single" w:sz="4" w:space="0" w:color="00AFD2" w:themeColor="accent1"/>
            </w:tcBorders>
          </w:tcPr>
          <w:p w14:paraId="4F4C3824" w14:textId="66C8CC44" w:rsidR="0042509E" w:rsidRDefault="00FC79E8">
            <w:pPr>
              <w:spacing w:before="20" w:after="20"/>
              <w:rPr>
                <w:b/>
                <w:lang w:val="nl-NL"/>
              </w:rPr>
            </w:pPr>
            <w:r>
              <w:rPr>
                <w:b/>
                <w:lang w:val="nl-NL"/>
              </w:rPr>
              <w:t>Matching portefeuille</w:t>
            </w:r>
          </w:p>
        </w:tc>
        <w:tc>
          <w:tcPr>
            <w:tcW w:w="5805" w:type="dxa"/>
            <w:tcBorders>
              <w:top w:val="single" w:sz="4" w:space="0" w:color="00AFD2" w:themeColor="accent1"/>
              <w:left w:val="single" w:sz="4" w:space="0" w:color="00AFD2" w:themeColor="accent1"/>
              <w:bottom w:val="single" w:sz="4" w:space="0" w:color="00AFD2" w:themeColor="accent1"/>
              <w:right w:val="single" w:sz="4" w:space="0" w:color="00AFD2" w:themeColor="accent1"/>
            </w:tcBorders>
          </w:tcPr>
          <w:p w14:paraId="3A1289E1" w14:textId="2448E85A" w:rsidR="0042509E" w:rsidRDefault="00B543E4">
            <w:pPr>
              <w:spacing w:before="20" w:after="20"/>
              <w:rPr>
                <w:lang w:val="nl-NL"/>
              </w:rPr>
            </w:pPr>
            <w:r>
              <w:rPr>
                <w:lang w:val="nl-NL"/>
              </w:rPr>
              <w:t>Gelijk aan verplichtingen op marktwaarde x strategische renteafdekking</w:t>
            </w:r>
          </w:p>
        </w:tc>
      </w:tr>
      <w:tr w:rsidR="00476417" w:rsidRPr="000A7159" w14:paraId="47C3C71F" w14:textId="77777777" w:rsidTr="00B543E4">
        <w:tc>
          <w:tcPr>
            <w:tcW w:w="3256" w:type="dxa"/>
            <w:tcBorders>
              <w:top w:val="single" w:sz="4" w:space="0" w:color="00AFD2" w:themeColor="accent1"/>
              <w:left w:val="single" w:sz="4" w:space="0" w:color="00AFD2" w:themeColor="accent1"/>
              <w:bottom w:val="single" w:sz="4" w:space="0" w:color="00AFD2" w:themeColor="accent1"/>
              <w:right w:val="single" w:sz="4" w:space="0" w:color="00AFD2" w:themeColor="accent1"/>
            </w:tcBorders>
          </w:tcPr>
          <w:p w14:paraId="4D38D877" w14:textId="6C3BA1B6" w:rsidR="00476417" w:rsidRPr="00050F54" w:rsidRDefault="00FC79E8" w:rsidP="001E699B">
            <w:pPr>
              <w:pStyle w:val="Lijstalinea"/>
              <w:numPr>
                <w:ilvl w:val="0"/>
                <w:numId w:val="39"/>
              </w:numPr>
              <w:spacing w:before="20" w:after="20"/>
              <w:rPr>
                <w:lang w:val="nl-NL"/>
              </w:rPr>
            </w:pPr>
            <w:r w:rsidRPr="00050F54">
              <w:rPr>
                <w:lang w:val="nl-NL"/>
              </w:rPr>
              <w:t>Matching portefeuille</w:t>
            </w:r>
          </w:p>
        </w:tc>
        <w:tc>
          <w:tcPr>
            <w:tcW w:w="5805" w:type="dxa"/>
            <w:tcBorders>
              <w:top w:val="single" w:sz="4" w:space="0" w:color="00AFD2" w:themeColor="accent1"/>
              <w:left w:val="single" w:sz="4" w:space="0" w:color="00AFD2" w:themeColor="accent1"/>
              <w:bottom w:val="single" w:sz="4" w:space="0" w:color="00AFD2" w:themeColor="accent1"/>
              <w:right w:val="single" w:sz="4" w:space="0" w:color="00AFD2" w:themeColor="accent1"/>
            </w:tcBorders>
          </w:tcPr>
          <w:p w14:paraId="18D53E4D" w14:textId="1B972C86" w:rsidR="00476417" w:rsidRPr="001C2EF5" w:rsidRDefault="00D150F4">
            <w:pPr>
              <w:spacing w:before="20" w:after="20"/>
              <w:rPr>
                <w:lang w:val="nl-NL"/>
              </w:rPr>
            </w:pPr>
            <w:r>
              <w:rPr>
                <w:lang w:val="nl-NL"/>
              </w:rPr>
              <w:t xml:space="preserve">Gelijk aan verplichtingen op marktwaarde </w:t>
            </w:r>
            <w:r w:rsidR="00B543E4">
              <w:rPr>
                <w:lang w:val="nl-NL"/>
              </w:rPr>
              <w:t>x strategische renteafdekking</w:t>
            </w:r>
          </w:p>
        </w:tc>
      </w:tr>
      <w:tr w:rsidR="0042509E" w:rsidRPr="00E91118" w14:paraId="5DCA8F38" w14:textId="77777777" w:rsidTr="00B543E4">
        <w:tc>
          <w:tcPr>
            <w:tcW w:w="3256" w:type="dxa"/>
            <w:tcBorders>
              <w:top w:val="single" w:sz="4" w:space="0" w:color="00AFD2" w:themeColor="accent1"/>
              <w:left w:val="single" w:sz="4" w:space="0" w:color="00AFD2" w:themeColor="accent1"/>
              <w:bottom w:val="single" w:sz="4" w:space="0" w:color="00AFD2" w:themeColor="accent1"/>
              <w:right w:val="single" w:sz="4" w:space="0" w:color="00AFD2" w:themeColor="accent1"/>
            </w:tcBorders>
          </w:tcPr>
          <w:p w14:paraId="64519169" w14:textId="000B524D" w:rsidR="0042509E" w:rsidRPr="00050F54" w:rsidRDefault="00D150F4" w:rsidP="001E699B">
            <w:pPr>
              <w:pStyle w:val="Lijstalinea"/>
              <w:numPr>
                <w:ilvl w:val="0"/>
                <w:numId w:val="39"/>
              </w:numPr>
              <w:spacing w:before="20" w:after="20"/>
              <w:rPr>
                <w:lang w:val="nl-NL"/>
              </w:rPr>
            </w:pPr>
            <w:r w:rsidRPr="00050F54">
              <w:rPr>
                <w:lang w:val="nl-NL"/>
              </w:rPr>
              <w:t>Renteswaps</w:t>
            </w:r>
          </w:p>
        </w:tc>
        <w:tc>
          <w:tcPr>
            <w:tcW w:w="5805" w:type="dxa"/>
            <w:tcBorders>
              <w:top w:val="single" w:sz="4" w:space="0" w:color="00AFD2" w:themeColor="accent1"/>
              <w:left w:val="single" w:sz="4" w:space="0" w:color="00AFD2" w:themeColor="accent1"/>
              <w:bottom w:val="single" w:sz="4" w:space="0" w:color="00AFD2" w:themeColor="accent1"/>
              <w:right w:val="single" w:sz="4" w:space="0" w:color="00AFD2" w:themeColor="accent1"/>
            </w:tcBorders>
          </w:tcPr>
          <w:p w14:paraId="284442FC" w14:textId="3F008559" w:rsidR="0042509E" w:rsidRDefault="00D150F4">
            <w:pPr>
              <w:spacing w:before="20" w:after="20"/>
              <w:rPr>
                <w:lang w:val="nl-NL"/>
              </w:rPr>
            </w:pPr>
            <w:r>
              <w:rPr>
                <w:lang w:val="nl-NL"/>
              </w:rPr>
              <w:t>Geen benchmark</w:t>
            </w:r>
          </w:p>
        </w:tc>
      </w:tr>
      <w:tr w:rsidR="0042509E" w:rsidRPr="00E91118" w14:paraId="2DD932CD" w14:textId="77777777" w:rsidTr="00B543E4">
        <w:tc>
          <w:tcPr>
            <w:tcW w:w="3256" w:type="dxa"/>
            <w:tcBorders>
              <w:top w:val="single" w:sz="4" w:space="0" w:color="00AFD2" w:themeColor="accent1"/>
              <w:left w:val="single" w:sz="4" w:space="0" w:color="00AFD2" w:themeColor="accent1"/>
              <w:bottom w:val="single" w:sz="4" w:space="0" w:color="00AFD2" w:themeColor="accent1"/>
              <w:right w:val="single" w:sz="4" w:space="0" w:color="00AFD2" w:themeColor="accent1"/>
            </w:tcBorders>
          </w:tcPr>
          <w:p w14:paraId="3EE530BC" w14:textId="13A79428" w:rsidR="0042509E" w:rsidRPr="00050F54" w:rsidRDefault="00D150F4" w:rsidP="001E699B">
            <w:pPr>
              <w:pStyle w:val="Lijstalinea"/>
              <w:numPr>
                <w:ilvl w:val="0"/>
                <w:numId w:val="39"/>
              </w:numPr>
              <w:spacing w:before="20" w:after="20"/>
              <w:rPr>
                <w:lang w:val="nl-NL"/>
              </w:rPr>
            </w:pPr>
            <w:r w:rsidRPr="00050F54">
              <w:rPr>
                <w:lang w:val="nl-NL"/>
              </w:rPr>
              <w:t>Hypotheken</w:t>
            </w:r>
          </w:p>
        </w:tc>
        <w:tc>
          <w:tcPr>
            <w:tcW w:w="5805" w:type="dxa"/>
            <w:tcBorders>
              <w:top w:val="single" w:sz="4" w:space="0" w:color="00AFD2" w:themeColor="accent1"/>
              <w:left w:val="single" w:sz="4" w:space="0" w:color="00AFD2" w:themeColor="accent1"/>
              <w:bottom w:val="single" w:sz="4" w:space="0" w:color="00AFD2" w:themeColor="accent1"/>
              <w:right w:val="single" w:sz="4" w:space="0" w:color="00AFD2" w:themeColor="accent1"/>
            </w:tcBorders>
          </w:tcPr>
          <w:p w14:paraId="49070860" w14:textId="62BF67D1" w:rsidR="0042509E" w:rsidRPr="00C6025F" w:rsidRDefault="005816B2" w:rsidP="005816B2">
            <w:pPr>
              <w:spacing w:before="20" w:after="20"/>
            </w:pPr>
            <w:r w:rsidRPr="00C6025F">
              <w:t>Customized PHF</w:t>
            </w:r>
            <w:r w:rsidR="00050F54" w:rsidRPr="00C6025F">
              <w:t xml:space="preserve"> </w:t>
            </w:r>
            <w:r w:rsidRPr="00C6025F">
              <w:t>maturity swap + 100 bp</w:t>
            </w:r>
          </w:p>
        </w:tc>
      </w:tr>
      <w:tr w:rsidR="00A63643" w:rsidRPr="00E91118" w14:paraId="1719A17B" w14:textId="77777777" w:rsidTr="00B543E4">
        <w:tc>
          <w:tcPr>
            <w:tcW w:w="3256" w:type="dxa"/>
            <w:tcBorders>
              <w:top w:val="single" w:sz="4" w:space="0" w:color="00AFD2" w:themeColor="accent1"/>
              <w:left w:val="single" w:sz="4" w:space="0" w:color="00AFD2" w:themeColor="accent1"/>
              <w:bottom w:val="single" w:sz="4" w:space="0" w:color="00AFD2" w:themeColor="accent1"/>
              <w:right w:val="single" w:sz="4" w:space="0" w:color="00AFD2" w:themeColor="accent1"/>
            </w:tcBorders>
          </w:tcPr>
          <w:p w14:paraId="0001F2D5" w14:textId="77777777" w:rsidR="00A63643" w:rsidRPr="00C6025F" w:rsidRDefault="00A63643">
            <w:pPr>
              <w:spacing w:before="20" w:after="20"/>
              <w:rPr>
                <w:b/>
                <w:bCs/>
              </w:rPr>
            </w:pPr>
          </w:p>
        </w:tc>
        <w:tc>
          <w:tcPr>
            <w:tcW w:w="5805" w:type="dxa"/>
            <w:tcBorders>
              <w:top w:val="single" w:sz="4" w:space="0" w:color="00AFD2" w:themeColor="accent1"/>
              <w:left w:val="single" w:sz="4" w:space="0" w:color="00AFD2" w:themeColor="accent1"/>
              <w:bottom w:val="single" w:sz="4" w:space="0" w:color="00AFD2" w:themeColor="accent1"/>
              <w:right w:val="single" w:sz="4" w:space="0" w:color="00AFD2" w:themeColor="accent1"/>
            </w:tcBorders>
          </w:tcPr>
          <w:p w14:paraId="65CD7BF7" w14:textId="77777777" w:rsidR="00A63643" w:rsidRPr="00C6025F" w:rsidRDefault="00A63643">
            <w:pPr>
              <w:spacing w:before="20" w:after="20"/>
            </w:pPr>
          </w:p>
        </w:tc>
      </w:tr>
      <w:tr w:rsidR="0042509E" w:rsidRPr="000A7159" w14:paraId="0DBAF3C8" w14:textId="77777777" w:rsidTr="00B543E4">
        <w:tc>
          <w:tcPr>
            <w:tcW w:w="3256" w:type="dxa"/>
            <w:tcBorders>
              <w:top w:val="single" w:sz="4" w:space="0" w:color="00AFD2" w:themeColor="accent1"/>
              <w:left w:val="single" w:sz="4" w:space="0" w:color="00AFD2" w:themeColor="accent1"/>
              <w:bottom w:val="single" w:sz="4" w:space="0" w:color="00AFD2" w:themeColor="accent1"/>
              <w:right w:val="single" w:sz="4" w:space="0" w:color="00AFD2" w:themeColor="accent1"/>
            </w:tcBorders>
          </w:tcPr>
          <w:p w14:paraId="7D64E955" w14:textId="749653A0" w:rsidR="0042509E" w:rsidRPr="00C04E95" w:rsidRDefault="00C04E95">
            <w:pPr>
              <w:spacing w:before="20" w:after="20"/>
              <w:rPr>
                <w:b/>
                <w:bCs/>
                <w:lang w:val="nl-NL"/>
              </w:rPr>
            </w:pPr>
            <w:r w:rsidRPr="00C04E95">
              <w:rPr>
                <w:b/>
                <w:bCs/>
                <w:lang w:val="nl-NL"/>
              </w:rPr>
              <w:t>Return portefeuille</w:t>
            </w:r>
          </w:p>
        </w:tc>
        <w:tc>
          <w:tcPr>
            <w:tcW w:w="5805" w:type="dxa"/>
            <w:tcBorders>
              <w:top w:val="single" w:sz="4" w:space="0" w:color="00AFD2" w:themeColor="accent1"/>
              <w:left w:val="single" w:sz="4" w:space="0" w:color="00AFD2" w:themeColor="accent1"/>
              <w:bottom w:val="single" w:sz="4" w:space="0" w:color="00AFD2" w:themeColor="accent1"/>
              <w:right w:val="single" w:sz="4" w:space="0" w:color="00AFD2" w:themeColor="accent1"/>
            </w:tcBorders>
          </w:tcPr>
          <w:p w14:paraId="23584E27" w14:textId="2FDCD1D3" w:rsidR="0042509E" w:rsidRDefault="00C04E95">
            <w:pPr>
              <w:spacing w:before="20" w:after="20"/>
              <w:rPr>
                <w:lang w:val="nl-NL"/>
              </w:rPr>
            </w:pPr>
            <w:r>
              <w:rPr>
                <w:lang w:val="nl-NL"/>
              </w:rPr>
              <w:t>Samengesteld op basis van de volgende subonderdelen</w:t>
            </w:r>
          </w:p>
        </w:tc>
      </w:tr>
      <w:tr w:rsidR="0042509E" w:rsidRPr="00E91118" w14:paraId="703F5CE4" w14:textId="77777777" w:rsidTr="00B543E4">
        <w:tc>
          <w:tcPr>
            <w:tcW w:w="3256" w:type="dxa"/>
            <w:tcBorders>
              <w:top w:val="single" w:sz="4" w:space="0" w:color="00AFD2" w:themeColor="accent1"/>
              <w:left w:val="single" w:sz="4" w:space="0" w:color="00AFD2" w:themeColor="accent1"/>
              <w:bottom w:val="single" w:sz="4" w:space="0" w:color="00AFD2" w:themeColor="accent1"/>
              <w:right w:val="single" w:sz="4" w:space="0" w:color="00AFD2" w:themeColor="accent1"/>
            </w:tcBorders>
          </w:tcPr>
          <w:p w14:paraId="5826E951" w14:textId="1A751B82" w:rsidR="0042509E" w:rsidRPr="00B44D4D" w:rsidRDefault="00B44D4D" w:rsidP="001E699B">
            <w:pPr>
              <w:pStyle w:val="Lijstalinea"/>
              <w:numPr>
                <w:ilvl w:val="0"/>
                <w:numId w:val="39"/>
              </w:numPr>
              <w:spacing w:before="20" w:after="20"/>
              <w:rPr>
                <w:lang w:val="nl-NL"/>
              </w:rPr>
            </w:pPr>
            <w:r>
              <w:rPr>
                <w:lang w:val="nl-NL"/>
              </w:rPr>
              <w:t>Investment grade bedrijfsobligaties</w:t>
            </w:r>
          </w:p>
        </w:tc>
        <w:tc>
          <w:tcPr>
            <w:tcW w:w="5805" w:type="dxa"/>
            <w:tcBorders>
              <w:top w:val="single" w:sz="4" w:space="0" w:color="00AFD2" w:themeColor="accent1"/>
              <w:left w:val="single" w:sz="4" w:space="0" w:color="00AFD2" w:themeColor="accent1"/>
              <w:bottom w:val="single" w:sz="4" w:space="0" w:color="00AFD2" w:themeColor="accent1"/>
              <w:right w:val="single" w:sz="4" w:space="0" w:color="00AFD2" w:themeColor="accent1"/>
            </w:tcBorders>
          </w:tcPr>
          <w:p w14:paraId="67D1A1F7" w14:textId="1F850489" w:rsidR="00284B6B" w:rsidRPr="00C6025F" w:rsidRDefault="00DA64D2">
            <w:pPr>
              <w:spacing w:before="20" w:after="20"/>
            </w:pPr>
            <w:r w:rsidRPr="00C6025F">
              <w:t>FTSE Euro broad</w:t>
            </w:r>
            <w:r w:rsidR="00CF5A6B" w:rsidRPr="00C6025F">
              <w:t xml:space="preserve"> Investment-grade bond index customized *</w:t>
            </w:r>
          </w:p>
        </w:tc>
      </w:tr>
      <w:tr w:rsidR="00E14858" w:rsidRPr="00E91118" w14:paraId="73094971" w14:textId="77777777" w:rsidTr="00B543E4">
        <w:tc>
          <w:tcPr>
            <w:tcW w:w="3256" w:type="dxa"/>
            <w:tcBorders>
              <w:top w:val="single" w:sz="4" w:space="0" w:color="00AFD2" w:themeColor="accent1"/>
              <w:left w:val="single" w:sz="4" w:space="0" w:color="00AFD2" w:themeColor="accent1"/>
              <w:bottom w:val="single" w:sz="4" w:space="0" w:color="00AFD2" w:themeColor="accent1"/>
              <w:right w:val="single" w:sz="4" w:space="0" w:color="00AFD2" w:themeColor="accent1"/>
            </w:tcBorders>
          </w:tcPr>
          <w:p w14:paraId="648A052E" w14:textId="6BCAEBA7" w:rsidR="00E14858" w:rsidRPr="00B44D4D" w:rsidRDefault="00050F54" w:rsidP="001E699B">
            <w:pPr>
              <w:pStyle w:val="Lijstalinea"/>
              <w:numPr>
                <w:ilvl w:val="0"/>
                <w:numId w:val="39"/>
              </w:numPr>
              <w:spacing w:before="20" w:after="20"/>
              <w:rPr>
                <w:lang w:val="nl-NL"/>
              </w:rPr>
            </w:pPr>
            <w:r>
              <w:rPr>
                <w:lang w:val="nl-NL"/>
              </w:rPr>
              <w:t>High yield bedrijfsobligaties</w:t>
            </w:r>
          </w:p>
        </w:tc>
        <w:tc>
          <w:tcPr>
            <w:tcW w:w="5805" w:type="dxa"/>
            <w:tcBorders>
              <w:top w:val="single" w:sz="4" w:space="0" w:color="00AFD2" w:themeColor="accent1"/>
              <w:left w:val="single" w:sz="4" w:space="0" w:color="00AFD2" w:themeColor="accent1"/>
              <w:bottom w:val="single" w:sz="4" w:space="0" w:color="00AFD2" w:themeColor="accent1"/>
              <w:right w:val="single" w:sz="4" w:space="0" w:color="00AFD2" w:themeColor="accent1"/>
            </w:tcBorders>
          </w:tcPr>
          <w:p w14:paraId="1DF5A009" w14:textId="41D4C351" w:rsidR="00E14858" w:rsidRPr="00C6025F" w:rsidRDefault="00354813" w:rsidP="005816B2">
            <w:pPr>
              <w:spacing w:before="20" w:after="20"/>
            </w:pPr>
            <w:r w:rsidRPr="00C6025F">
              <w:t xml:space="preserve">ICE BoFA Global High Yield Constrained </w:t>
            </w:r>
            <w:r w:rsidR="00C703BE" w:rsidRPr="00C6025F">
              <w:t>Index USD Hedged</w:t>
            </w:r>
          </w:p>
        </w:tc>
      </w:tr>
      <w:tr w:rsidR="00C04E95" w:rsidRPr="00E91118" w14:paraId="3F1F8A12" w14:textId="77777777" w:rsidTr="00B543E4">
        <w:tc>
          <w:tcPr>
            <w:tcW w:w="3256" w:type="dxa"/>
            <w:tcBorders>
              <w:top w:val="single" w:sz="4" w:space="0" w:color="00AFD2" w:themeColor="accent1"/>
              <w:left w:val="single" w:sz="4" w:space="0" w:color="00AFD2" w:themeColor="accent1"/>
              <w:bottom w:val="single" w:sz="4" w:space="0" w:color="00AFD2" w:themeColor="accent1"/>
              <w:right w:val="single" w:sz="4" w:space="0" w:color="00AFD2" w:themeColor="accent1"/>
            </w:tcBorders>
          </w:tcPr>
          <w:p w14:paraId="3E36CB07" w14:textId="652427B1" w:rsidR="00C04E95" w:rsidRPr="005816B2" w:rsidRDefault="00887010" w:rsidP="005816B2">
            <w:pPr>
              <w:spacing w:before="20" w:after="20"/>
              <w:rPr>
                <w:lang w:val="nl-NL"/>
              </w:rPr>
            </w:pPr>
            <w:r>
              <w:rPr>
                <w:lang w:val="nl-NL"/>
              </w:rPr>
              <w:t>Aandelen</w:t>
            </w:r>
          </w:p>
        </w:tc>
        <w:tc>
          <w:tcPr>
            <w:tcW w:w="5805" w:type="dxa"/>
            <w:tcBorders>
              <w:top w:val="single" w:sz="4" w:space="0" w:color="00AFD2" w:themeColor="accent1"/>
              <w:left w:val="single" w:sz="4" w:space="0" w:color="00AFD2" w:themeColor="accent1"/>
              <w:bottom w:val="single" w:sz="4" w:space="0" w:color="00AFD2" w:themeColor="accent1"/>
              <w:right w:val="single" w:sz="4" w:space="0" w:color="00AFD2" w:themeColor="accent1"/>
            </w:tcBorders>
          </w:tcPr>
          <w:p w14:paraId="57179798" w14:textId="77777777" w:rsidR="00C04E95" w:rsidRPr="001C2EF5" w:rsidRDefault="00C04E95" w:rsidP="005816B2">
            <w:pPr>
              <w:spacing w:before="20" w:after="20"/>
              <w:rPr>
                <w:lang w:val="nl-NL"/>
              </w:rPr>
            </w:pPr>
          </w:p>
        </w:tc>
      </w:tr>
      <w:tr w:rsidR="00C04E95" w:rsidRPr="00E91118" w14:paraId="07D1F5D0" w14:textId="77777777" w:rsidTr="00B543E4">
        <w:tc>
          <w:tcPr>
            <w:tcW w:w="3256" w:type="dxa"/>
            <w:tcBorders>
              <w:top w:val="single" w:sz="4" w:space="0" w:color="00AFD2" w:themeColor="accent1"/>
              <w:left w:val="single" w:sz="4" w:space="0" w:color="00AFD2" w:themeColor="accent1"/>
              <w:bottom w:val="single" w:sz="4" w:space="0" w:color="00AFD2" w:themeColor="accent1"/>
              <w:right w:val="single" w:sz="4" w:space="0" w:color="00AFD2" w:themeColor="accent1"/>
            </w:tcBorders>
          </w:tcPr>
          <w:p w14:paraId="3800A4F0" w14:textId="42504213" w:rsidR="00C04E95" w:rsidRPr="00887010" w:rsidRDefault="00887010" w:rsidP="001E699B">
            <w:pPr>
              <w:pStyle w:val="Lijstalinea"/>
              <w:numPr>
                <w:ilvl w:val="0"/>
                <w:numId w:val="39"/>
              </w:numPr>
              <w:spacing w:before="20" w:after="20"/>
              <w:rPr>
                <w:lang w:val="nl-NL"/>
              </w:rPr>
            </w:pPr>
            <w:r>
              <w:rPr>
                <w:lang w:val="nl-NL"/>
              </w:rPr>
              <w:t>Aandelen ontwikkelde markten</w:t>
            </w:r>
          </w:p>
        </w:tc>
        <w:tc>
          <w:tcPr>
            <w:tcW w:w="5805" w:type="dxa"/>
            <w:tcBorders>
              <w:top w:val="single" w:sz="4" w:space="0" w:color="00AFD2" w:themeColor="accent1"/>
              <w:left w:val="single" w:sz="4" w:space="0" w:color="00AFD2" w:themeColor="accent1"/>
              <w:bottom w:val="single" w:sz="4" w:space="0" w:color="00AFD2" w:themeColor="accent1"/>
              <w:right w:val="single" w:sz="4" w:space="0" w:color="00AFD2" w:themeColor="accent1"/>
            </w:tcBorders>
          </w:tcPr>
          <w:p w14:paraId="0BC46135" w14:textId="06A67150" w:rsidR="00C04E95" w:rsidRPr="001C2EF5" w:rsidRDefault="00C703BE" w:rsidP="005816B2">
            <w:pPr>
              <w:spacing w:before="20" w:after="20"/>
              <w:rPr>
                <w:lang w:val="nl-NL"/>
              </w:rPr>
            </w:pPr>
            <w:r>
              <w:rPr>
                <w:lang w:val="nl-NL"/>
              </w:rPr>
              <w:t>Custom FTSE</w:t>
            </w:r>
            <w:r w:rsidR="000B13D6">
              <w:rPr>
                <w:lang w:val="nl-NL"/>
              </w:rPr>
              <w:t xml:space="preserve"> Index</w:t>
            </w:r>
            <w:r>
              <w:rPr>
                <w:lang w:val="nl-NL"/>
              </w:rPr>
              <w:t xml:space="preserve"> Global</w:t>
            </w:r>
            <w:r w:rsidR="000B13D6">
              <w:rPr>
                <w:lang w:val="nl-NL"/>
              </w:rPr>
              <w:t xml:space="preserve"> **</w:t>
            </w:r>
          </w:p>
        </w:tc>
      </w:tr>
      <w:tr w:rsidR="00C04E95" w:rsidRPr="00E91118" w14:paraId="6F974E0D" w14:textId="77777777" w:rsidTr="00B543E4">
        <w:tc>
          <w:tcPr>
            <w:tcW w:w="3256" w:type="dxa"/>
            <w:tcBorders>
              <w:top w:val="single" w:sz="4" w:space="0" w:color="00AFD2" w:themeColor="accent1"/>
              <w:left w:val="single" w:sz="4" w:space="0" w:color="00AFD2" w:themeColor="accent1"/>
              <w:bottom w:val="single" w:sz="4" w:space="0" w:color="00AFD2" w:themeColor="accent1"/>
              <w:right w:val="single" w:sz="4" w:space="0" w:color="00AFD2" w:themeColor="accent1"/>
            </w:tcBorders>
          </w:tcPr>
          <w:p w14:paraId="3AA5B298" w14:textId="255DB727" w:rsidR="00C04E95" w:rsidRPr="00887010" w:rsidRDefault="00887010" w:rsidP="001E699B">
            <w:pPr>
              <w:pStyle w:val="Lijstalinea"/>
              <w:numPr>
                <w:ilvl w:val="0"/>
                <w:numId w:val="39"/>
              </w:numPr>
              <w:spacing w:before="20" w:after="20"/>
              <w:rPr>
                <w:lang w:val="nl-NL"/>
              </w:rPr>
            </w:pPr>
            <w:r>
              <w:rPr>
                <w:lang w:val="nl-NL"/>
              </w:rPr>
              <w:t>Aandelen opkomende markten</w:t>
            </w:r>
          </w:p>
        </w:tc>
        <w:tc>
          <w:tcPr>
            <w:tcW w:w="5805" w:type="dxa"/>
            <w:tcBorders>
              <w:top w:val="single" w:sz="4" w:space="0" w:color="00AFD2" w:themeColor="accent1"/>
              <w:left w:val="single" w:sz="4" w:space="0" w:color="00AFD2" w:themeColor="accent1"/>
              <w:bottom w:val="single" w:sz="4" w:space="0" w:color="00AFD2" w:themeColor="accent1"/>
              <w:right w:val="single" w:sz="4" w:space="0" w:color="00AFD2" w:themeColor="accent1"/>
            </w:tcBorders>
          </w:tcPr>
          <w:p w14:paraId="01C14C43" w14:textId="760175B5" w:rsidR="00C04E95" w:rsidRPr="00C6025F" w:rsidRDefault="000B13D6" w:rsidP="005816B2">
            <w:pPr>
              <w:spacing w:before="20" w:after="20"/>
            </w:pPr>
            <w:r w:rsidRPr="00C6025F">
              <w:t>MSCI Emerging Markets</w:t>
            </w:r>
            <w:r w:rsidR="0028643B" w:rsidRPr="00C6025F">
              <w:t xml:space="preserve"> Net Total Return</w:t>
            </w:r>
          </w:p>
        </w:tc>
      </w:tr>
      <w:tr w:rsidR="00C04E95" w:rsidRPr="00E91118" w14:paraId="13358D26" w14:textId="77777777" w:rsidTr="00B543E4">
        <w:tc>
          <w:tcPr>
            <w:tcW w:w="3256" w:type="dxa"/>
            <w:tcBorders>
              <w:top w:val="single" w:sz="4" w:space="0" w:color="00AFD2" w:themeColor="accent1"/>
              <w:left w:val="single" w:sz="4" w:space="0" w:color="00AFD2" w:themeColor="accent1"/>
              <w:bottom w:val="single" w:sz="4" w:space="0" w:color="00AFD2" w:themeColor="accent1"/>
              <w:right w:val="single" w:sz="4" w:space="0" w:color="00AFD2" w:themeColor="accent1"/>
            </w:tcBorders>
          </w:tcPr>
          <w:p w14:paraId="1A9A2CE8" w14:textId="705749EC" w:rsidR="00C04E95" w:rsidRPr="003075CB" w:rsidRDefault="003075CB" w:rsidP="001E699B">
            <w:pPr>
              <w:pStyle w:val="Lijstalinea"/>
              <w:numPr>
                <w:ilvl w:val="0"/>
                <w:numId w:val="39"/>
              </w:numPr>
              <w:spacing w:before="20" w:after="20"/>
              <w:rPr>
                <w:lang w:val="nl-NL"/>
              </w:rPr>
            </w:pPr>
            <w:r>
              <w:rPr>
                <w:lang w:val="nl-NL"/>
              </w:rPr>
              <w:t>Aandelen small caps Europa</w:t>
            </w:r>
          </w:p>
        </w:tc>
        <w:tc>
          <w:tcPr>
            <w:tcW w:w="5805" w:type="dxa"/>
            <w:tcBorders>
              <w:top w:val="single" w:sz="4" w:space="0" w:color="00AFD2" w:themeColor="accent1"/>
              <w:left w:val="single" w:sz="4" w:space="0" w:color="00AFD2" w:themeColor="accent1"/>
              <w:bottom w:val="single" w:sz="4" w:space="0" w:color="00AFD2" w:themeColor="accent1"/>
              <w:right w:val="single" w:sz="4" w:space="0" w:color="00AFD2" w:themeColor="accent1"/>
            </w:tcBorders>
          </w:tcPr>
          <w:p w14:paraId="27B98524" w14:textId="4655D521" w:rsidR="00C04E95" w:rsidRPr="00C6025F" w:rsidRDefault="0028643B" w:rsidP="005816B2">
            <w:pPr>
              <w:spacing w:before="20" w:after="20"/>
            </w:pPr>
            <w:r w:rsidRPr="00C6025F">
              <w:t>MSCI Europe Small Cap Net Total Return</w:t>
            </w:r>
          </w:p>
        </w:tc>
      </w:tr>
      <w:tr w:rsidR="003075CB" w:rsidRPr="00E91118" w14:paraId="175E335C" w14:textId="77777777" w:rsidTr="00B543E4">
        <w:tc>
          <w:tcPr>
            <w:tcW w:w="3256" w:type="dxa"/>
            <w:tcBorders>
              <w:top w:val="single" w:sz="4" w:space="0" w:color="00AFD2" w:themeColor="accent1"/>
              <w:left w:val="single" w:sz="4" w:space="0" w:color="00AFD2" w:themeColor="accent1"/>
              <w:bottom w:val="single" w:sz="4" w:space="0" w:color="00AFD2" w:themeColor="accent1"/>
              <w:right w:val="single" w:sz="4" w:space="0" w:color="00AFD2" w:themeColor="accent1"/>
            </w:tcBorders>
          </w:tcPr>
          <w:p w14:paraId="4A693010" w14:textId="5B0BD416" w:rsidR="003075CB" w:rsidRDefault="00036517" w:rsidP="001E699B">
            <w:pPr>
              <w:pStyle w:val="Lijstalinea"/>
              <w:numPr>
                <w:ilvl w:val="0"/>
                <w:numId w:val="39"/>
              </w:numPr>
              <w:spacing w:before="20" w:after="20"/>
              <w:rPr>
                <w:lang w:val="nl-NL"/>
              </w:rPr>
            </w:pPr>
            <w:r>
              <w:rPr>
                <w:lang w:val="nl-NL"/>
              </w:rPr>
              <w:t>Aandelen small caps Japan</w:t>
            </w:r>
          </w:p>
        </w:tc>
        <w:tc>
          <w:tcPr>
            <w:tcW w:w="5805" w:type="dxa"/>
            <w:tcBorders>
              <w:top w:val="single" w:sz="4" w:space="0" w:color="00AFD2" w:themeColor="accent1"/>
              <w:left w:val="single" w:sz="4" w:space="0" w:color="00AFD2" w:themeColor="accent1"/>
              <w:bottom w:val="single" w:sz="4" w:space="0" w:color="00AFD2" w:themeColor="accent1"/>
              <w:right w:val="single" w:sz="4" w:space="0" w:color="00AFD2" w:themeColor="accent1"/>
            </w:tcBorders>
          </w:tcPr>
          <w:p w14:paraId="4065AB02" w14:textId="065B33E0" w:rsidR="003075CB" w:rsidRPr="00C6025F" w:rsidRDefault="004C37FE" w:rsidP="005816B2">
            <w:pPr>
              <w:spacing w:before="20" w:after="20"/>
            </w:pPr>
            <w:r w:rsidRPr="00C6025F">
              <w:t>Russell</w:t>
            </w:r>
            <w:r w:rsidR="00D0179A" w:rsidRPr="00C6025F">
              <w:t xml:space="preserve">/Nomura </w:t>
            </w:r>
            <w:r w:rsidR="00997473" w:rsidRPr="00C6025F">
              <w:t>M</w:t>
            </w:r>
            <w:r w:rsidR="00D0179A" w:rsidRPr="00C6025F">
              <w:t>id-</w:t>
            </w:r>
            <w:r w:rsidR="00997473" w:rsidRPr="00C6025F">
              <w:t>S</w:t>
            </w:r>
            <w:r w:rsidR="00D0179A" w:rsidRPr="00C6025F">
              <w:t xml:space="preserve">mall </w:t>
            </w:r>
            <w:r w:rsidR="002B3C1E" w:rsidRPr="00C6025F">
              <w:t>C</w:t>
            </w:r>
            <w:r w:rsidR="00D0179A" w:rsidRPr="00C6025F">
              <w:t xml:space="preserve">ap </w:t>
            </w:r>
            <w:r w:rsidR="002B3C1E" w:rsidRPr="00C6025F">
              <w:t>I</w:t>
            </w:r>
            <w:r w:rsidR="00D0179A" w:rsidRPr="00C6025F">
              <w:t xml:space="preserve">ndex </w:t>
            </w:r>
            <w:r w:rsidR="002B3C1E" w:rsidRPr="00C6025F">
              <w:t>W</w:t>
            </w:r>
            <w:r w:rsidR="00D0179A" w:rsidRPr="00C6025F">
              <w:t xml:space="preserve">ith </w:t>
            </w:r>
            <w:r w:rsidR="002B3C1E" w:rsidRPr="00C6025F">
              <w:t>D</w:t>
            </w:r>
            <w:r w:rsidR="00D0179A" w:rsidRPr="00C6025F">
              <w:t>ividend</w:t>
            </w:r>
          </w:p>
        </w:tc>
      </w:tr>
      <w:tr w:rsidR="003075CB" w:rsidRPr="00E91118" w14:paraId="7270BE28" w14:textId="77777777" w:rsidTr="00B543E4">
        <w:tc>
          <w:tcPr>
            <w:tcW w:w="3256" w:type="dxa"/>
            <w:tcBorders>
              <w:top w:val="single" w:sz="4" w:space="0" w:color="00AFD2" w:themeColor="accent1"/>
              <w:left w:val="single" w:sz="4" w:space="0" w:color="00AFD2" w:themeColor="accent1"/>
              <w:bottom w:val="single" w:sz="4" w:space="0" w:color="00AFD2" w:themeColor="accent1"/>
              <w:right w:val="single" w:sz="4" w:space="0" w:color="00AFD2" w:themeColor="accent1"/>
            </w:tcBorders>
          </w:tcPr>
          <w:p w14:paraId="13E51CC7" w14:textId="6B88539D" w:rsidR="003075CB" w:rsidRPr="00CD2BBC" w:rsidRDefault="005B0176" w:rsidP="005B0176">
            <w:pPr>
              <w:spacing w:before="20" w:after="20"/>
              <w:rPr>
                <w:lang w:val="nl-NL"/>
              </w:rPr>
            </w:pPr>
            <w:r w:rsidRPr="00CD2BBC">
              <w:rPr>
                <w:lang w:val="nl-NL"/>
              </w:rPr>
              <w:t>Vastgoed</w:t>
            </w:r>
          </w:p>
        </w:tc>
        <w:tc>
          <w:tcPr>
            <w:tcW w:w="5805" w:type="dxa"/>
            <w:tcBorders>
              <w:top w:val="single" w:sz="4" w:space="0" w:color="00AFD2" w:themeColor="accent1"/>
              <w:left w:val="single" w:sz="4" w:space="0" w:color="00AFD2" w:themeColor="accent1"/>
              <w:bottom w:val="single" w:sz="4" w:space="0" w:color="00AFD2" w:themeColor="accent1"/>
              <w:right w:val="single" w:sz="4" w:space="0" w:color="00AFD2" w:themeColor="accent1"/>
            </w:tcBorders>
          </w:tcPr>
          <w:p w14:paraId="578DB54A" w14:textId="4066AAAB" w:rsidR="003075CB" w:rsidRPr="00997473" w:rsidRDefault="002B3C1E" w:rsidP="005B0176">
            <w:pPr>
              <w:spacing w:before="20" w:after="20"/>
              <w:rPr>
                <w:lang w:val="nl-NL"/>
              </w:rPr>
            </w:pPr>
            <w:r w:rsidRPr="00997473">
              <w:rPr>
                <w:lang w:val="nl-NL"/>
              </w:rPr>
              <w:t>Samengestelde benchmark bestaande uit:</w:t>
            </w:r>
          </w:p>
        </w:tc>
      </w:tr>
      <w:tr w:rsidR="003075CB" w:rsidRPr="00E91118" w14:paraId="68303DDF" w14:textId="77777777" w:rsidTr="00B543E4">
        <w:tc>
          <w:tcPr>
            <w:tcW w:w="3256" w:type="dxa"/>
            <w:tcBorders>
              <w:top w:val="single" w:sz="4" w:space="0" w:color="00AFD2" w:themeColor="accent1"/>
              <w:left w:val="single" w:sz="4" w:space="0" w:color="00AFD2" w:themeColor="accent1"/>
              <w:bottom w:val="single" w:sz="4" w:space="0" w:color="00AFD2" w:themeColor="accent1"/>
              <w:right w:val="single" w:sz="4" w:space="0" w:color="00AFD2" w:themeColor="accent1"/>
            </w:tcBorders>
          </w:tcPr>
          <w:p w14:paraId="6A3C0269" w14:textId="5F921567" w:rsidR="003075CB" w:rsidRDefault="005B0176" w:rsidP="001E699B">
            <w:pPr>
              <w:pStyle w:val="Lijstalinea"/>
              <w:numPr>
                <w:ilvl w:val="0"/>
                <w:numId w:val="39"/>
              </w:numPr>
              <w:spacing w:before="20" w:after="20"/>
              <w:rPr>
                <w:lang w:val="nl-NL"/>
              </w:rPr>
            </w:pPr>
            <w:r>
              <w:rPr>
                <w:lang w:val="nl-NL"/>
              </w:rPr>
              <w:t>Beursgenoteerd vastgoed</w:t>
            </w:r>
          </w:p>
        </w:tc>
        <w:tc>
          <w:tcPr>
            <w:tcW w:w="5805" w:type="dxa"/>
            <w:tcBorders>
              <w:top w:val="single" w:sz="4" w:space="0" w:color="00AFD2" w:themeColor="accent1"/>
              <w:left w:val="single" w:sz="4" w:space="0" w:color="00AFD2" w:themeColor="accent1"/>
              <w:bottom w:val="single" w:sz="4" w:space="0" w:color="00AFD2" w:themeColor="accent1"/>
              <w:right w:val="single" w:sz="4" w:space="0" w:color="00AFD2" w:themeColor="accent1"/>
            </w:tcBorders>
          </w:tcPr>
          <w:p w14:paraId="16DCD89C" w14:textId="77777777" w:rsidR="003075CB" w:rsidRPr="00C6025F" w:rsidRDefault="00997473" w:rsidP="005816B2">
            <w:pPr>
              <w:spacing w:before="20" w:after="20"/>
            </w:pPr>
            <w:r w:rsidRPr="00C6025F">
              <w:t xml:space="preserve">50% MSCI US </w:t>
            </w:r>
            <w:r w:rsidR="00DB4ABB" w:rsidRPr="00C6025F">
              <w:t>Investable Market Real Estate 25/50 Net Return USD</w:t>
            </w:r>
          </w:p>
          <w:p w14:paraId="1B3555FB" w14:textId="7B225BF5" w:rsidR="00D95670" w:rsidRPr="00C6025F" w:rsidRDefault="00D95670" w:rsidP="005816B2">
            <w:pPr>
              <w:spacing w:before="20" w:after="20"/>
            </w:pPr>
            <w:r w:rsidRPr="00C6025F">
              <w:t>50% S&amp;P Global ex U</w:t>
            </w:r>
            <w:r w:rsidR="00214DF6" w:rsidRPr="00C6025F">
              <w:t>.</w:t>
            </w:r>
            <w:r w:rsidRPr="00C6025F">
              <w:t>S</w:t>
            </w:r>
            <w:r w:rsidR="00214DF6" w:rsidRPr="00C6025F">
              <w:t>.</w:t>
            </w:r>
            <w:r w:rsidRPr="00C6025F">
              <w:t xml:space="preserve"> Property </w:t>
            </w:r>
            <w:r w:rsidR="00214DF6" w:rsidRPr="00C6025F">
              <w:t xml:space="preserve">Net </w:t>
            </w:r>
            <w:r w:rsidRPr="00C6025F">
              <w:t>Total Return</w:t>
            </w:r>
            <w:r w:rsidR="00214DF6" w:rsidRPr="00C6025F">
              <w:t xml:space="preserve"> Index</w:t>
            </w:r>
          </w:p>
        </w:tc>
      </w:tr>
      <w:tr w:rsidR="003075CB" w:rsidRPr="00967C6B" w14:paraId="79CC4CF3" w14:textId="77777777" w:rsidTr="00B543E4">
        <w:tc>
          <w:tcPr>
            <w:tcW w:w="3256" w:type="dxa"/>
            <w:tcBorders>
              <w:top w:val="single" w:sz="4" w:space="0" w:color="00AFD2" w:themeColor="accent1"/>
              <w:left w:val="single" w:sz="4" w:space="0" w:color="00AFD2" w:themeColor="accent1"/>
              <w:bottom w:val="single" w:sz="4" w:space="0" w:color="00AFD2" w:themeColor="accent1"/>
              <w:right w:val="single" w:sz="4" w:space="0" w:color="00AFD2" w:themeColor="accent1"/>
            </w:tcBorders>
          </w:tcPr>
          <w:p w14:paraId="1DC27CFD" w14:textId="3FF19F4D" w:rsidR="003075CB" w:rsidRDefault="00CD2BBC" w:rsidP="001E699B">
            <w:pPr>
              <w:pStyle w:val="Lijstalinea"/>
              <w:numPr>
                <w:ilvl w:val="0"/>
                <w:numId w:val="39"/>
              </w:numPr>
              <w:spacing w:before="20" w:after="20"/>
              <w:rPr>
                <w:lang w:val="nl-NL"/>
              </w:rPr>
            </w:pPr>
            <w:r>
              <w:rPr>
                <w:lang w:val="nl-NL"/>
              </w:rPr>
              <w:t>Niet-beursgenoteerd vastgoed</w:t>
            </w:r>
          </w:p>
        </w:tc>
        <w:tc>
          <w:tcPr>
            <w:tcW w:w="5805" w:type="dxa"/>
            <w:tcBorders>
              <w:top w:val="single" w:sz="4" w:space="0" w:color="00AFD2" w:themeColor="accent1"/>
              <w:left w:val="single" w:sz="4" w:space="0" w:color="00AFD2" w:themeColor="accent1"/>
              <w:bottom w:val="single" w:sz="4" w:space="0" w:color="00AFD2" w:themeColor="accent1"/>
              <w:right w:val="single" w:sz="4" w:space="0" w:color="00AFD2" w:themeColor="accent1"/>
            </w:tcBorders>
          </w:tcPr>
          <w:p w14:paraId="58F4EB3C" w14:textId="5C926218" w:rsidR="00214DF6" w:rsidRDefault="00967C6B" w:rsidP="005816B2">
            <w:pPr>
              <w:spacing w:before="20" w:after="20"/>
            </w:pPr>
            <w:r w:rsidRPr="00C6025F">
              <w:t>55% MSCI Dutch TR Residential P</w:t>
            </w:r>
            <w:r>
              <w:t>roperty index, 45%</w:t>
            </w:r>
            <w:r w:rsidR="00923A73">
              <w:t xml:space="preserve"> MSCI Pan-European PFI Funds Quarterly Property index.</w:t>
            </w:r>
          </w:p>
          <w:p w14:paraId="514F9111" w14:textId="77777777" w:rsidR="00923A73" w:rsidRDefault="00923A73" w:rsidP="005816B2">
            <w:pPr>
              <w:spacing w:before="20" w:after="20"/>
            </w:pPr>
            <w:r>
              <w:t>MSCI/PREA US ACOE Quarterly Property index</w:t>
            </w:r>
          </w:p>
          <w:p w14:paraId="4941BBBE" w14:textId="0FFEA5B6" w:rsidR="00D34497" w:rsidRPr="00C6025F" w:rsidRDefault="00D34497" w:rsidP="005816B2">
            <w:pPr>
              <w:spacing w:before="20" w:after="20"/>
            </w:pPr>
            <w:r>
              <w:t>MSCI Asia Pacific Annual Property index</w:t>
            </w:r>
          </w:p>
        </w:tc>
      </w:tr>
      <w:tr w:rsidR="00CD2BBC" w:rsidRPr="000A7159" w14:paraId="25177203" w14:textId="77777777" w:rsidTr="00B543E4">
        <w:tc>
          <w:tcPr>
            <w:tcW w:w="3256" w:type="dxa"/>
            <w:tcBorders>
              <w:top w:val="single" w:sz="4" w:space="0" w:color="00AFD2" w:themeColor="accent1"/>
              <w:left w:val="single" w:sz="4" w:space="0" w:color="00AFD2" w:themeColor="accent1"/>
              <w:bottom w:val="single" w:sz="4" w:space="0" w:color="00AFD2" w:themeColor="accent1"/>
              <w:right w:val="single" w:sz="4" w:space="0" w:color="00AFD2" w:themeColor="accent1"/>
            </w:tcBorders>
          </w:tcPr>
          <w:p w14:paraId="5DB0578C" w14:textId="17A5719A" w:rsidR="00CD2BBC" w:rsidRDefault="00CD2BBC" w:rsidP="00CD2BBC">
            <w:pPr>
              <w:spacing w:before="20" w:after="20"/>
              <w:rPr>
                <w:lang w:val="nl-NL"/>
              </w:rPr>
            </w:pPr>
            <w:r>
              <w:rPr>
                <w:lang w:val="nl-NL"/>
              </w:rPr>
              <w:t>Valuta-afdekking</w:t>
            </w:r>
          </w:p>
        </w:tc>
        <w:tc>
          <w:tcPr>
            <w:tcW w:w="5805" w:type="dxa"/>
            <w:tcBorders>
              <w:top w:val="single" w:sz="4" w:space="0" w:color="00AFD2" w:themeColor="accent1"/>
              <w:left w:val="single" w:sz="4" w:space="0" w:color="00AFD2" w:themeColor="accent1"/>
              <w:bottom w:val="single" w:sz="4" w:space="0" w:color="00AFD2" w:themeColor="accent1"/>
              <w:right w:val="single" w:sz="4" w:space="0" w:color="00AFD2" w:themeColor="accent1"/>
            </w:tcBorders>
          </w:tcPr>
          <w:p w14:paraId="511B72FF" w14:textId="49F65468" w:rsidR="00CD2BBC" w:rsidRPr="001C2EF5" w:rsidRDefault="00A842C5" w:rsidP="00CD2BBC">
            <w:pPr>
              <w:spacing w:before="20" w:after="20"/>
              <w:rPr>
                <w:lang w:val="nl-NL"/>
              </w:rPr>
            </w:pPr>
            <w:r>
              <w:rPr>
                <w:lang w:val="nl-NL"/>
              </w:rPr>
              <w:t xml:space="preserve">100% afdekking van USD, </w:t>
            </w:r>
            <w:r w:rsidR="00CC3551">
              <w:rPr>
                <w:lang w:val="nl-NL"/>
              </w:rPr>
              <w:t xml:space="preserve">JPY, </w:t>
            </w:r>
            <w:r>
              <w:rPr>
                <w:lang w:val="nl-NL"/>
              </w:rPr>
              <w:t xml:space="preserve">GBP, CHF, </w:t>
            </w:r>
            <w:r w:rsidR="00CC3551">
              <w:rPr>
                <w:lang w:val="nl-NL"/>
              </w:rPr>
              <w:t xml:space="preserve">CAD, AUD, </w:t>
            </w:r>
            <w:r>
              <w:rPr>
                <w:lang w:val="nl-NL"/>
              </w:rPr>
              <w:t>SEK</w:t>
            </w:r>
          </w:p>
        </w:tc>
      </w:tr>
    </w:tbl>
    <w:p w14:paraId="49DB80B4" w14:textId="77777777" w:rsidR="00795D82" w:rsidRPr="00C6025F" w:rsidRDefault="00795D82" w:rsidP="00795D82">
      <w:pPr>
        <w:rPr>
          <w:lang w:val="nl-NL"/>
        </w:rPr>
      </w:pPr>
    </w:p>
    <w:p w14:paraId="1D8DDADD" w14:textId="291E9639" w:rsidR="004C0CBB" w:rsidRPr="00C6025F" w:rsidRDefault="004C0CBB" w:rsidP="004C0CBB">
      <w:pPr>
        <w:rPr>
          <w:lang w:val="nl-NL"/>
        </w:rPr>
      </w:pPr>
      <w:r w:rsidRPr="00C6025F">
        <w:rPr>
          <w:lang w:val="nl-NL"/>
        </w:rPr>
        <w:t>* Rating minimaal A/A2 en hoger, sector banken gemaximaliseerd op 25%</w:t>
      </w:r>
    </w:p>
    <w:p w14:paraId="5C065630" w14:textId="6C5C3A2C" w:rsidR="004C0CBB" w:rsidRPr="00C6025F" w:rsidRDefault="004C0CBB" w:rsidP="00795D82">
      <w:pPr>
        <w:rPr>
          <w:lang w:val="nl-NL"/>
        </w:rPr>
      </w:pPr>
      <w:r w:rsidRPr="00C6025F">
        <w:rPr>
          <w:lang w:val="nl-NL"/>
        </w:rPr>
        <w:lastRenderedPageBreak/>
        <w:t xml:space="preserve">** FTSE ex Griekenland, Zuid-Korea, Polen en Reits. </w:t>
      </w:r>
    </w:p>
    <w:p w14:paraId="04E54632" w14:textId="77777777" w:rsidR="00795D82" w:rsidRPr="001C2EF5" w:rsidRDefault="00795D82" w:rsidP="00795D82">
      <w:pPr>
        <w:rPr>
          <w:lang w:val="nl-NL"/>
        </w:rPr>
      </w:pPr>
    </w:p>
    <w:p w14:paraId="6AC2A69B" w14:textId="77777777" w:rsidR="00FE0B19" w:rsidRDefault="00795D82" w:rsidP="00795D82">
      <w:pPr>
        <w:rPr>
          <w:lang w:val="nl-NL"/>
        </w:rPr>
      </w:pPr>
      <w:r w:rsidRPr="00795D82">
        <w:rPr>
          <w:lang w:val="nl-NL"/>
        </w:rPr>
        <w:t>Maandelijks worden de gerealiseerde rendementen vergeleken met de benchmark rendementen en wordt een analyse van de verschillen gemaakt, zowel per deelportefeuille als op balansniveau. De valuta-afdekking word</w:t>
      </w:r>
      <w:r w:rsidR="00FE0B19">
        <w:rPr>
          <w:lang w:val="nl-NL"/>
        </w:rPr>
        <w:t>t op balansniveau geanalyseerd.</w:t>
      </w:r>
    </w:p>
    <w:p w14:paraId="487E7C39" w14:textId="77777777" w:rsidR="006242D8" w:rsidRDefault="006242D8" w:rsidP="00795D82">
      <w:pPr>
        <w:rPr>
          <w:lang w:val="nl-NL"/>
        </w:rPr>
      </w:pPr>
    </w:p>
    <w:p w14:paraId="37707079" w14:textId="77777777" w:rsidR="00795D82" w:rsidRPr="00795D82" w:rsidRDefault="00795D82" w:rsidP="00795D82">
      <w:pPr>
        <w:rPr>
          <w:lang w:val="nl-NL"/>
        </w:rPr>
      </w:pPr>
      <w:r w:rsidRPr="00795D82">
        <w:rPr>
          <w:lang w:val="nl-NL"/>
        </w:rPr>
        <w:t>De integrale vermogensbeheerkosten bestaan uit:</w:t>
      </w:r>
    </w:p>
    <w:p w14:paraId="6F979CA8" w14:textId="77777777" w:rsidR="00795D82" w:rsidRPr="00FE0B19" w:rsidRDefault="00795D82" w:rsidP="001E699B">
      <w:pPr>
        <w:pStyle w:val="Lijstalinea"/>
        <w:numPr>
          <w:ilvl w:val="0"/>
          <w:numId w:val="24"/>
        </w:numPr>
        <w:rPr>
          <w:lang w:val="nl-NL"/>
        </w:rPr>
      </w:pPr>
      <w:r w:rsidRPr="00FE0B19">
        <w:rPr>
          <w:lang w:val="nl-NL"/>
        </w:rPr>
        <w:t>Kosten voor beleggingsadministratie, ALM analyses, risicomanagementdiensten, rendementsanalyses en “compliance monitoring”</w:t>
      </w:r>
      <w:r w:rsidR="001B09DC">
        <w:rPr>
          <w:lang w:val="nl-NL"/>
        </w:rPr>
        <w:t>.</w:t>
      </w:r>
    </w:p>
    <w:p w14:paraId="2661DCE8" w14:textId="77777777" w:rsidR="00795D82" w:rsidRPr="00FE0B19" w:rsidRDefault="00795D82" w:rsidP="001E699B">
      <w:pPr>
        <w:pStyle w:val="Lijstalinea"/>
        <w:numPr>
          <w:ilvl w:val="0"/>
          <w:numId w:val="24"/>
        </w:numPr>
        <w:rPr>
          <w:lang w:val="nl-NL"/>
        </w:rPr>
      </w:pPr>
      <w:r w:rsidRPr="00FE0B19">
        <w:rPr>
          <w:lang w:val="nl-NL"/>
        </w:rPr>
        <w:t>Toegerekende (interne) kosten van het bestuursbureau</w:t>
      </w:r>
      <w:r w:rsidR="001B09DC">
        <w:rPr>
          <w:lang w:val="nl-NL"/>
        </w:rPr>
        <w:t>.</w:t>
      </w:r>
    </w:p>
    <w:p w14:paraId="13647E23" w14:textId="77777777" w:rsidR="00795D82" w:rsidRPr="00FE0B19" w:rsidRDefault="00795D82" w:rsidP="001E699B">
      <w:pPr>
        <w:pStyle w:val="Lijstalinea"/>
        <w:numPr>
          <w:ilvl w:val="0"/>
          <w:numId w:val="24"/>
        </w:numPr>
        <w:rPr>
          <w:lang w:val="nl-NL"/>
        </w:rPr>
      </w:pPr>
      <w:r w:rsidRPr="00FE0B19">
        <w:rPr>
          <w:lang w:val="nl-NL"/>
        </w:rPr>
        <w:t>Vermogensbeheervergoedingen voor externe vermogensbeheerders</w:t>
      </w:r>
      <w:r w:rsidR="001B09DC">
        <w:rPr>
          <w:lang w:val="nl-NL"/>
        </w:rPr>
        <w:t>.</w:t>
      </w:r>
    </w:p>
    <w:p w14:paraId="1147ADA1" w14:textId="4AFA5940" w:rsidR="00795D82" w:rsidRPr="00FE0B19" w:rsidRDefault="00795D82" w:rsidP="001E699B">
      <w:pPr>
        <w:pStyle w:val="Lijstalinea"/>
        <w:numPr>
          <w:ilvl w:val="0"/>
          <w:numId w:val="24"/>
        </w:numPr>
        <w:rPr>
          <w:lang w:val="nl-NL"/>
        </w:rPr>
      </w:pPr>
      <w:r w:rsidRPr="00FE0B19">
        <w:rPr>
          <w:lang w:val="nl-NL"/>
        </w:rPr>
        <w:t xml:space="preserve">Kosten voor uitvoering van </w:t>
      </w:r>
      <w:r w:rsidR="00A3617A">
        <w:rPr>
          <w:lang w:val="nl-NL"/>
        </w:rPr>
        <w:t xml:space="preserve">derivaten- en </w:t>
      </w:r>
      <w:r w:rsidRPr="00FE0B19">
        <w:rPr>
          <w:lang w:val="nl-NL"/>
        </w:rPr>
        <w:t>effectenorders en bewaring van effecten</w:t>
      </w:r>
      <w:r w:rsidR="001B09DC">
        <w:rPr>
          <w:lang w:val="nl-NL"/>
        </w:rPr>
        <w:t>.</w:t>
      </w:r>
    </w:p>
    <w:p w14:paraId="05DCB3B6" w14:textId="77777777" w:rsidR="00795D82" w:rsidRPr="00FE0B19" w:rsidRDefault="00795D82" w:rsidP="001E699B">
      <w:pPr>
        <w:pStyle w:val="Lijstalinea"/>
        <w:numPr>
          <w:ilvl w:val="0"/>
          <w:numId w:val="24"/>
        </w:numPr>
        <w:rPr>
          <w:lang w:val="nl-NL"/>
        </w:rPr>
      </w:pPr>
      <w:r w:rsidRPr="00FE0B19">
        <w:rPr>
          <w:lang w:val="nl-NL"/>
        </w:rPr>
        <w:t>Spreads bij transacties en in/-uitstap ver</w:t>
      </w:r>
      <w:r w:rsidR="00FE0B19">
        <w:rPr>
          <w:lang w:val="nl-NL"/>
        </w:rPr>
        <w:t>goedingen bij beleggingsfondsen.</w:t>
      </w:r>
      <w:r w:rsidR="00FE0B19">
        <w:rPr>
          <w:lang w:val="nl-NL"/>
        </w:rPr>
        <w:br/>
      </w:r>
    </w:p>
    <w:p w14:paraId="7EE705C2" w14:textId="76CA0BA8" w:rsidR="00795D82" w:rsidRPr="00795D82" w:rsidRDefault="00217470" w:rsidP="00795D82">
      <w:pPr>
        <w:rPr>
          <w:lang w:val="nl-NL"/>
        </w:rPr>
      </w:pPr>
      <w:r>
        <w:rPr>
          <w:lang w:val="nl-NL"/>
        </w:rPr>
        <w:t>Ons</w:t>
      </w:r>
      <w:r w:rsidRPr="00795D82">
        <w:rPr>
          <w:lang w:val="nl-NL"/>
        </w:rPr>
        <w:t xml:space="preserve"> </w:t>
      </w:r>
      <w:r w:rsidR="00795D82" w:rsidRPr="00795D82">
        <w:rPr>
          <w:lang w:val="nl-NL"/>
        </w:rPr>
        <w:t>fonds licht de (integrale) vermogensbeheerkosten toe in het bestuursverslag bij de jaarrekening. Daarbij wordt inzichtelijk gemaakt welk deel van de kosten is vergoed door de werkgever (op basis van de uitvoeringsovereenkomst) en welk deel rechtstreeks ten laste van het rendement is gekomen.</w:t>
      </w:r>
    </w:p>
    <w:p w14:paraId="7FD4EFF7" w14:textId="77777777" w:rsidR="00795D82" w:rsidRPr="00795D82" w:rsidRDefault="00795D82" w:rsidP="00451E81">
      <w:pPr>
        <w:rPr>
          <w:lang w:val="nl-NL"/>
        </w:rPr>
      </w:pPr>
    </w:p>
    <w:p w14:paraId="2706C6C0" w14:textId="77777777" w:rsidR="00FE0B19" w:rsidRDefault="00FE0B19">
      <w:pPr>
        <w:spacing w:after="200" w:line="276" w:lineRule="auto"/>
        <w:rPr>
          <w:lang w:val="nl-NL"/>
        </w:rPr>
      </w:pPr>
      <w:r>
        <w:rPr>
          <w:lang w:val="nl-NL"/>
        </w:rPr>
        <w:br w:type="page"/>
      </w:r>
    </w:p>
    <w:p w14:paraId="4A037C81" w14:textId="77777777" w:rsidR="00795D82" w:rsidRPr="00795D82" w:rsidRDefault="00FE0B19" w:rsidP="00FE0B19">
      <w:pPr>
        <w:pStyle w:val="Kop1"/>
        <w:numPr>
          <w:ilvl w:val="0"/>
          <w:numId w:val="0"/>
        </w:numPr>
        <w:rPr>
          <w:rFonts w:hint="eastAsia"/>
          <w:lang w:val="nl-NL"/>
        </w:rPr>
      </w:pPr>
      <w:bookmarkStart w:id="62" w:name="_Toc231804784"/>
      <w:r w:rsidRPr="00FE0B19">
        <w:rPr>
          <w:lang w:val="nl-NL"/>
        </w:rPr>
        <w:lastRenderedPageBreak/>
        <w:t>BIJLAGE 1: Actuariële grondslagen en veronderstellingen</w:t>
      </w:r>
      <w:bookmarkEnd w:id="62"/>
    </w:p>
    <w:p w14:paraId="02CC4905" w14:textId="77777777" w:rsidR="00CA1B5F" w:rsidRPr="00795D82" w:rsidRDefault="00CA1B5F" w:rsidP="00451E81">
      <w:pPr>
        <w:rPr>
          <w:lang w:val="nl-NL"/>
        </w:rPr>
      </w:pPr>
    </w:p>
    <w:tbl>
      <w:tblPr>
        <w:tblStyle w:val="Tabelraster"/>
        <w:tblW w:w="0" w:type="auto"/>
        <w:tblBorders>
          <w:top w:val="single" w:sz="4" w:space="0" w:color="00AFD2" w:themeColor="accent1"/>
          <w:left w:val="none" w:sz="0" w:space="0" w:color="auto"/>
          <w:bottom w:val="single" w:sz="4" w:space="0" w:color="00AFD2" w:themeColor="accent1"/>
          <w:right w:val="none" w:sz="0" w:space="0" w:color="auto"/>
          <w:insideH w:val="single" w:sz="4" w:space="0" w:color="00AFD2" w:themeColor="accent1"/>
          <w:insideV w:val="none" w:sz="0" w:space="0" w:color="auto"/>
        </w:tblBorders>
        <w:tblLook w:val="04A0" w:firstRow="1" w:lastRow="0" w:firstColumn="1" w:lastColumn="0" w:noHBand="0" w:noVBand="1"/>
      </w:tblPr>
      <w:tblGrid>
        <w:gridCol w:w="2933"/>
        <w:gridCol w:w="6138"/>
      </w:tblGrid>
      <w:tr w:rsidR="00CA1B5F" w:rsidRPr="000A7159" w14:paraId="3A52EEEC" w14:textId="77777777" w:rsidTr="001B427C">
        <w:tc>
          <w:tcPr>
            <w:tcW w:w="2933" w:type="dxa"/>
          </w:tcPr>
          <w:p w14:paraId="7219E45C" w14:textId="77777777" w:rsidR="00CA1B5F" w:rsidRPr="00CA1B5F" w:rsidRDefault="00CA1B5F" w:rsidP="00CA1B5F">
            <w:pPr>
              <w:spacing w:before="20" w:after="20"/>
              <w:rPr>
                <w:lang w:val="nl-NL"/>
              </w:rPr>
            </w:pPr>
            <w:r w:rsidRPr="00CA1B5F">
              <w:rPr>
                <w:lang w:val="nl-NL"/>
              </w:rPr>
              <w:t>Sterftegrondslagen</w:t>
            </w:r>
          </w:p>
        </w:tc>
        <w:tc>
          <w:tcPr>
            <w:tcW w:w="6138" w:type="dxa"/>
          </w:tcPr>
          <w:p w14:paraId="665A8952" w14:textId="2E821EE1" w:rsidR="00CA1B5F" w:rsidRPr="00CA1B5F" w:rsidRDefault="00CA1B5F" w:rsidP="00CA1B5F">
            <w:pPr>
              <w:spacing w:before="20" w:after="20"/>
              <w:rPr>
                <w:lang w:val="nl-NL"/>
              </w:rPr>
            </w:pPr>
            <w:r w:rsidRPr="00CA1B5F">
              <w:rPr>
                <w:lang w:val="nl-NL"/>
              </w:rPr>
              <w:t>AG Prognosetafel 20</w:t>
            </w:r>
            <w:r w:rsidR="000D6191">
              <w:rPr>
                <w:lang w:val="nl-NL"/>
              </w:rPr>
              <w:t>2</w:t>
            </w:r>
            <w:r w:rsidR="00B05014">
              <w:rPr>
                <w:lang w:val="nl-NL"/>
              </w:rPr>
              <w:t>4</w:t>
            </w:r>
            <w:r w:rsidRPr="00CA1B5F">
              <w:rPr>
                <w:lang w:val="nl-NL"/>
              </w:rPr>
              <w:t xml:space="preserve"> met fondsspecifieke ervaringssterfte (zie bijlage 2). Per 1 januari 20</w:t>
            </w:r>
            <w:r w:rsidR="000D6191">
              <w:rPr>
                <w:lang w:val="nl-NL"/>
              </w:rPr>
              <w:t>2</w:t>
            </w:r>
            <w:r w:rsidR="000B02A2">
              <w:rPr>
                <w:lang w:val="nl-NL"/>
              </w:rPr>
              <w:t>5</w:t>
            </w:r>
            <w:r w:rsidRPr="00CA1B5F">
              <w:rPr>
                <w:lang w:val="nl-NL"/>
              </w:rPr>
              <w:t xml:space="preserve"> </w:t>
            </w:r>
            <w:r w:rsidR="0018093D">
              <w:rPr>
                <w:lang w:val="nl-NL"/>
              </w:rPr>
              <w:t xml:space="preserve">wordt </w:t>
            </w:r>
            <w:r w:rsidRPr="00CA1B5F">
              <w:rPr>
                <w:lang w:val="nl-NL"/>
              </w:rPr>
              <w:t>als startjaar het jaar 20</w:t>
            </w:r>
            <w:r w:rsidR="000D6191">
              <w:rPr>
                <w:lang w:val="nl-NL"/>
              </w:rPr>
              <w:t>2</w:t>
            </w:r>
            <w:r w:rsidR="000B02A2">
              <w:rPr>
                <w:lang w:val="nl-NL"/>
              </w:rPr>
              <w:t>5</w:t>
            </w:r>
            <w:r w:rsidRPr="00CA1B5F">
              <w:rPr>
                <w:lang w:val="nl-NL"/>
              </w:rPr>
              <w:t xml:space="preserve"> gebruikt. Jaarlijks schuift het te gebruiken startjaar één jaar op. </w:t>
            </w:r>
          </w:p>
        </w:tc>
      </w:tr>
      <w:tr w:rsidR="00CA1B5F" w:rsidRPr="000A7159" w14:paraId="1D46DFC8" w14:textId="77777777" w:rsidTr="001B427C">
        <w:tc>
          <w:tcPr>
            <w:tcW w:w="2933" w:type="dxa"/>
          </w:tcPr>
          <w:p w14:paraId="1AA4AF4D" w14:textId="77777777" w:rsidR="00CA1B5F" w:rsidRPr="00CA1B5F" w:rsidRDefault="00CA1B5F" w:rsidP="00CA1B5F">
            <w:pPr>
              <w:spacing w:before="20" w:after="20"/>
              <w:rPr>
                <w:lang w:val="nl-NL"/>
              </w:rPr>
            </w:pPr>
            <w:r w:rsidRPr="00CA1B5F">
              <w:rPr>
                <w:lang w:val="nl-NL"/>
              </w:rPr>
              <w:t>Vaststelling leeftijden</w:t>
            </w:r>
          </w:p>
        </w:tc>
        <w:tc>
          <w:tcPr>
            <w:tcW w:w="6138" w:type="dxa"/>
          </w:tcPr>
          <w:p w14:paraId="3AE5CF1A" w14:textId="77777777" w:rsidR="00CA1B5F" w:rsidRPr="00CA1B5F" w:rsidRDefault="00CA1B5F" w:rsidP="00CA1B5F">
            <w:pPr>
              <w:spacing w:before="20" w:after="20"/>
              <w:rPr>
                <w:lang w:val="nl-NL"/>
              </w:rPr>
            </w:pPr>
            <w:r w:rsidRPr="00CA1B5F">
              <w:rPr>
                <w:lang w:val="nl-NL"/>
              </w:rPr>
              <w:t>De leeftijden worden in jaren en maanden nauwkeurig vastgesteld.</w:t>
            </w:r>
          </w:p>
        </w:tc>
      </w:tr>
      <w:tr w:rsidR="00CA1B5F" w:rsidRPr="000A7159" w14:paraId="45629CF1" w14:textId="77777777" w:rsidTr="001B427C">
        <w:tc>
          <w:tcPr>
            <w:tcW w:w="2933" w:type="dxa"/>
          </w:tcPr>
          <w:p w14:paraId="4303AC23" w14:textId="77777777" w:rsidR="00CA1B5F" w:rsidRPr="00CA1B5F" w:rsidRDefault="00CA1B5F" w:rsidP="00CA1B5F">
            <w:pPr>
              <w:spacing w:before="20" w:after="20"/>
              <w:rPr>
                <w:lang w:val="nl-NL"/>
              </w:rPr>
            </w:pPr>
            <w:r w:rsidRPr="00CA1B5F">
              <w:rPr>
                <w:lang w:val="nl-NL"/>
              </w:rPr>
              <w:t>Leeftijdsverschil man – vrouw</w:t>
            </w:r>
          </w:p>
        </w:tc>
        <w:tc>
          <w:tcPr>
            <w:tcW w:w="6138" w:type="dxa"/>
          </w:tcPr>
          <w:p w14:paraId="3CAA2D62" w14:textId="77777777" w:rsidR="009D00EE" w:rsidRPr="00BE1489" w:rsidRDefault="009D00EE" w:rsidP="009D00EE">
            <w:pPr>
              <w:rPr>
                <w:lang w:val="nl-NL"/>
              </w:rPr>
            </w:pPr>
            <w:r w:rsidRPr="00BE1489">
              <w:rPr>
                <w:lang w:val="nl-NL"/>
              </w:rPr>
              <w:t>Mannelijke hoofdverzekerde is 2 jaar en zes maanden ouder dan vrouwelijke medeverzekerde; vrouwelijke hoofdverzekerde is 2 jaar jonger dan de mannelijke medeverzekerde.</w:t>
            </w:r>
          </w:p>
          <w:p w14:paraId="7EEF8231" w14:textId="52DC26B9" w:rsidR="00CA1B5F" w:rsidRPr="00CA1B5F" w:rsidRDefault="00CA1B5F" w:rsidP="00CA1B5F">
            <w:pPr>
              <w:spacing w:before="20" w:after="20"/>
              <w:rPr>
                <w:lang w:val="nl-NL"/>
              </w:rPr>
            </w:pPr>
          </w:p>
        </w:tc>
      </w:tr>
      <w:tr w:rsidR="00CA1B5F" w:rsidRPr="000A7159" w14:paraId="12330CAB" w14:textId="77777777" w:rsidTr="001B427C">
        <w:tc>
          <w:tcPr>
            <w:tcW w:w="2933" w:type="dxa"/>
          </w:tcPr>
          <w:p w14:paraId="732BAF3A" w14:textId="77777777" w:rsidR="00CA1B5F" w:rsidRPr="00CA1B5F" w:rsidRDefault="00CA1B5F" w:rsidP="00CA1B5F">
            <w:pPr>
              <w:spacing w:before="20" w:after="20"/>
              <w:rPr>
                <w:lang w:val="nl-NL"/>
              </w:rPr>
            </w:pPr>
            <w:r w:rsidRPr="00CA1B5F">
              <w:rPr>
                <w:lang w:val="nl-NL"/>
              </w:rPr>
              <w:t>Partnerfrequentie</w:t>
            </w:r>
          </w:p>
        </w:tc>
        <w:tc>
          <w:tcPr>
            <w:tcW w:w="6138" w:type="dxa"/>
          </w:tcPr>
          <w:p w14:paraId="17D32134" w14:textId="77777777" w:rsidR="009D00EE" w:rsidRPr="00BE1489" w:rsidRDefault="009D00EE" w:rsidP="009D00EE">
            <w:pPr>
              <w:spacing w:before="20" w:after="20"/>
              <w:rPr>
                <w:lang w:val="nl-NL"/>
              </w:rPr>
            </w:pPr>
            <w:r w:rsidRPr="00BE1489">
              <w:rPr>
                <w:lang w:val="nl-NL"/>
              </w:rPr>
              <w:t xml:space="preserve">Partnerfrequentie volgens bijlage 2, met dien verstande dat op de pensioenrichtleeftijd de partnerfrequentie op 100% wordt verondersteld vanwege de mogelijkheid tot uitruil. </w:t>
            </w:r>
          </w:p>
          <w:p w14:paraId="19AD8735" w14:textId="77777777" w:rsidR="009D00EE" w:rsidRPr="00BE1489" w:rsidRDefault="009D00EE" w:rsidP="009D00EE">
            <w:pPr>
              <w:rPr>
                <w:lang w:val="nl-NL"/>
              </w:rPr>
            </w:pPr>
            <w:r w:rsidRPr="00BE1489">
              <w:rPr>
                <w:lang w:val="nl-NL"/>
              </w:rPr>
              <w:t>Na pensionering wordt uitgegaan van het bepaalde partnersysteem.</w:t>
            </w:r>
          </w:p>
          <w:p w14:paraId="65CA051D" w14:textId="3EF10844" w:rsidR="00CA1B5F" w:rsidRPr="00CA1B5F" w:rsidRDefault="00CA1B5F" w:rsidP="00CA1B5F">
            <w:pPr>
              <w:spacing w:before="20" w:after="20"/>
              <w:rPr>
                <w:lang w:val="nl-NL"/>
              </w:rPr>
            </w:pPr>
          </w:p>
        </w:tc>
      </w:tr>
      <w:tr w:rsidR="00CA1B5F" w:rsidRPr="000A7159" w14:paraId="6CE6259E" w14:textId="77777777" w:rsidTr="001B427C">
        <w:tc>
          <w:tcPr>
            <w:tcW w:w="2933" w:type="dxa"/>
          </w:tcPr>
          <w:p w14:paraId="4B79BB83" w14:textId="77777777" w:rsidR="00CA1B5F" w:rsidRPr="00CA1B5F" w:rsidRDefault="00CA1B5F" w:rsidP="00CA1B5F">
            <w:pPr>
              <w:spacing w:before="20" w:after="20"/>
              <w:rPr>
                <w:lang w:val="nl-NL"/>
              </w:rPr>
            </w:pPr>
            <w:r w:rsidRPr="00CA1B5F">
              <w:rPr>
                <w:lang w:val="nl-NL"/>
              </w:rPr>
              <w:t>Rekenrente</w:t>
            </w:r>
          </w:p>
        </w:tc>
        <w:tc>
          <w:tcPr>
            <w:tcW w:w="6138" w:type="dxa"/>
          </w:tcPr>
          <w:p w14:paraId="181B5DB2" w14:textId="77777777" w:rsidR="00CA1B5F" w:rsidRPr="00CA1B5F" w:rsidRDefault="00CA1B5F" w:rsidP="00CA1B5F">
            <w:pPr>
              <w:spacing w:before="20" w:after="20"/>
              <w:rPr>
                <w:lang w:val="nl-NL"/>
              </w:rPr>
            </w:pPr>
            <w:r w:rsidRPr="00CA1B5F">
              <w:rPr>
                <w:lang w:val="nl-NL"/>
              </w:rPr>
              <w:t xml:space="preserve">Rentetermijnstructuur zoals gepubliceerd door DNB. </w:t>
            </w:r>
          </w:p>
        </w:tc>
      </w:tr>
      <w:tr w:rsidR="00CA1B5F" w:rsidRPr="000A7159" w14:paraId="700840A2" w14:textId="77777777" w:rsidTr="001B427C">
        <w:tc>
          <w:tcPr>
            <w:tcW w:w="2933" w:type="dxa"/>
          </w:tcPr>
          <w:p w14:paraId="543E01D4" w14:textId="77777777" w:rsidR="00CA1B5F" w:rsidRPr="00CA1B5F" w:rsidRDefault="00CA1B5F" w:rsidP="00CA1B5F">
            <w:pPr>
              <w:spacing w:before="20" w:after="20"/>
              <w:rPr>
                <w:lang w:val="nl-NL"/>
              </w:rPr>
            </w:pPr>
            <w:r w:rsidRPr="00CA1B5F">
              <w:rPr>
                <w:lang w:val="nl-NL"/>
              </w:rPr>
              <w:t>Wezenpensioen</w:t>
            </w:r>
          </w:p>
        </w:tc>
        <w:tc>
          <w:tcPr>
            <w:tcW w:w="6138" w:type="dxa"/>
          </w:tcPr>
          <w:p w14:paraId="69D8FD5A" w14:textId="261CC260" w:rsidR="00CA1B5F" w:rsidRDefault="00CA1B5F" w:rsidP="00CA1B5F">
            <w:pPr>
              <w:spacing w:before="20" w:after="20"/>
              <w:rPr>
                <w:lang w:val="nl-NL"/>
              </w:rPr>
            </w:pPr>
            <w:r w:rsidRPr="00CA1B5F">
              <w:rPr>
                <w:lang w:val="nl-NL"/>
              </w:rPr>
              <w:t xml:space="preserve">Voor het niet-ingegane wezenpensioen wordt </w:t>
            </w:r>
            <w:r w:rsidR="000E71AF">
              <w:rPr>
                <w:lang w:val="nl-NL"/>
              </w:rPr>
              <w:t>3</w:t>
            </w:r>
            <w:r w:rsidRPr="00CA1B5F">
              <w:rPr>
                <w:lang w:val="nl-NL"/>
              </w:rPr>
              <w:t xml:space="preserve">% van de contante waarde van het partnerpensioen gereserveerd </w:t>
            </w:r>
            <w:r w:rsidR="001D4DD9">
              <w:rPr>
                <w:lang w:val="nl-NL"/>
              </w:rPr>
              <w:t xml:space="preserve">door middel van </w:t>
            </w:r>
            <w:r w:rsidRPr="00CA1B5F">
              <w:rPr>
                <w:lang w:val="nl-NL"/>
              </w:rPr>
              <w:t xml:space="preserve">een opslag van </w:t>
            </w:r>
            <w:r w:rsidR="000E71AF">
              <w:rPr>
                <w:lang w:val="nl-NL"/>
              </w:rPr>
              <w:t>3</w:t>
            </w:r>
            <w:r w:rsidRPr="00CA1B5F">
              <w:rPr>
                <w:lang w:val="nl-NL"/>
              </w:rPr>
              <w:t>,0% berekend over de koopsom voor het partnerpensioen en de risicopremie voor niet-gefinancierd partnerpensioen.</w:t>
            </w:r>
          </w:p>
          <w:p w14:paraId="447C4FA5" w14:textId="77777777" w:rsidR="00CA1B5F" w:rsidRPr="00CA1B5F" w:rsidRDefault="00CA1B5F" w:rsidP="00CA1B5F">
            <w:pPr>
              <w:spacing w:before="20" w:after="20"/>
              <w:rPr>
                <w:lang w:val="nl-NL"/>
              </w:rPr>
            </w:pPr>
            <w:r w:rsidRPr="00CA1B5F">
              <w:rPr>
                <w:lang w:val="nl-NL"/>
              </w:rPr>
              <w:t>Voor ingegane wezenpensioenen wordt zonder sterftekansen gerekend.</w:t>
            </w:r>
          </w:p>
        </w:tc>
      </w:tr>
      <w:tr w:rsidR="00CA1B5F" w:rsidRPr="000A7159" w14:paraId="26092CE2" w14:textId="77777777" w:rsidTr="001B427C">
        <w:tc>
          <w:tcPr>
            <w:tcW w:w="2933" w:type="dxa"/>
          </w:tcPr>
          <w:p w14:paraId="07A482F0" w14:textId="77777777" w:rsidR="00CA1B5F" w:rsidRPr="00CA1B5F" w:rsidRDefault="00CA1B5F" w:rsidP="00CA1B5F">
            <w:pPr>
              <w:spacing w:before="20" w:after="20"/>
              <w:rPr>
                <w:lang w:val="nl-NL"/>
              </w:rPr>
            </w:pPr>
            <w:r w:rsidRPr="00CA1B5F">
              <w:rPr>
                <w:lang w:val="nl-NL"/>
              </w:rPr>
              <w:t>Premievrijstelling arbeidsongeschikten</w:t>
            </w:r>
          </w:p>
        </w:tc>
        <w:tc>
          <w:tcPr>
            <w:tcW w:w="6138" w:type="dxa"/>
          </w:tcPr>
          <w:p w14:paraId="4D3FDCDF" w14:textId="77777777" w:rsidR="00CA1B5F" w:rsidRPr="00CA1B5F" w:rsidRDefault="00CA1B5F" w:rsidP="00CA1B5F">
            <w:pPr>
              <w:spacing w:before="20" w:after="20"/>
              <w:rPr>
                <w:lang w:val="nl-NL"/>
              </w:rPr>
            </w:pPr>
            <w:r w:rsidRPr="00CA1B5F">
              <w:rPr>
                <w:lang w:val="nl-NL"/>
              </w:rPr>
              <w:t>De netto contante waarde van de individueel vastgestelde pensioenen betrekking hebbende op de pensioengevende jaren waarvoor premievrijstelling wordt verleend, vanaf de balansdatum tot de pensioendatum, wordt gereserveerd.</w:t>
            </w:r>
          </w:p>
        </w:tc>
      </w:tr>
      <w:tr w:rsidR="001B427C" w:rsidRPr="000A7159" w14:paraId="3C01349F" w14:textId="77777777" w:rsidTr="001B427C">
        <w:tc>
          <w:tcPr>
            <w:tcW w:w="2933" w:type="dxa"/>
          </w:tcPr>
          <w:p w14:paraId="60170536" w14:textId="1B181BDE" w:rsidR="001B427C" w:rsidRPr="00CA1B5F" w:rsidRDefault="001B427C" w:rsidP="001B427C">
            <w:pPr>
              <w:spacing w:before="20" w:after="20"/>
              <w:rPr>
                <w:lang w:val="nl-NL"/>
              </w:rPr>
            </w:pPr>
            <w:r>
              <w:rPr>
                <w:lang w:val="nl-NL"/>
              </w:rPr>
              <w:t>Premievrijstelling tijdelijk partnerpensioen</w:t>
            </w:r>
          </w:p>
        </w:tc>
        <w:tc>
          <w:tcPr>
            <w:tcW w:w="6138" w:type="dxa"/>
          </w:tcPr>
          <w:p w14:paraId="6E2FD4BC" w14:textId="06F1C1E2" w:rsidR="001B427C" w:rsidRPr="00CA1B5F" w:rsidRDefault="001B427C" w:rsidP="001B427C">
            <w:pPr>
              <w:spacing w:before="20" w:after="20"/>
              <w:rPr>
                <w:lang w:val="nl-NL"/>
              </w:rPr>
            </w:pPr>
            <w:r>
              <w:rPr>
                <w:lang w:val="nl-NL"/>
              </w:rPr>
              <w:t>De opslag in de voorziening pensioenverplichtingen voor de deelnemers met premievrijstelling bij arbeidsongeschiktheid voor het tijdelijk partnerpensioen is gelijk aan de som van de toekomstige risicopremies voor de betreffende deelnemers</w:t>
            </w:r>
          </w:p>
        </w:tc>
      </w:tr>
      <w:tr w:rsidR="001B427C" w:rsidRPr="000A7159" w14:paraId="0F66E51D" w14:textId="77777777" w:rsidTr="001B427C">
        <w:tc>
          <w:tcPr>
            <w:tcW w:w="2933" w:type="dxa"/>
          </w:tcPr>
          <w:p w14:paraId="490B93B9" w14:textId="77777777" w:rsidR="001B427C" w:rsidRPr="00CA1B5F" w:rsidRDefault="001B427C" w:rsidP="001B427C">
            <w:pPr>
              <w:spacing w:before="20" w:after="20"/>
              <w:rPr>
                <w:lang w:val="nl-NL"/>
              </w:rPr>
            </w:pPr>
            <w:r w:rsidRPr="00CA1B5F">
              <w:rPr>
                <w:lang w:val="nl-NL"/>
              </w:rPr>
              <w:t>Premievrijstelling toekomstig arbeidsongeschiktheidsrisico</w:t>
            </w:r>
          </w:p>
        </w:tc>
        <w:tc>
          <w:tcPr>
            <w:tcW w:w="6138" w:type="dxa"/>
          </w:tcPr>
          <w:p w14:paraId="301F727E" w14:textId="59456FC0" w:rsidR="001B427C" w:rsidRDefault="001B427C" w:rsidP="001B427C">
            <w:pPr>
              <w:spacing w:before="20" w:after="20"/>
              <w:rPr>
                <w:lang w:val="nl-NL"/>
              </w:rPr>
            </w:pPr>
            <w:r>
              <w:rPr>
                <w:lang w:val="nl-NL"/>
              </w:rPr>
              <w:t>Voor ouderdomspensioen en nabestaandenpensioen: 1,</w:t>
            </w:r>
            <w:r w:rsidR="005173EE">
              <w:rPr>
                <w:lang w:val="nl-NL"/>
              </w:rPr>
              <w:t>1</w:t>
            </w:r>
            <w:r>
              <w:rPr>
                <w:lang w:val="nl-NL"/>
              </w:rPr>
              <w:t>% van de pensioengrondslag.</w:t>
            </w:r>
          </w:p>
          <w:p w14:paraId="5C2EEDD5" w14:textId="57DD034C" w:rsidR="001B427C" w:rsidRPr="00CA1B5F" w:rsidRDefault="001B427C" w:rsidP="001B427C">
            <w:pPr>
              <w:spacing w:before="20" w:after="20"/>
              <w:rPr>
                <w:lang w:val="nl-NL"/>
              </w:rPr>
            </w:pPr>
            <w:r>
              <w:rPr>
                <w:lang w:val="nl-NL"/>
              </w:rPr>
              <w:t>Voor tijdelijk partnerpensioen: De</w:t>
            </w:r>
            <w:r w:rsidRPr="00CA1B5F">
              <w:rPr>
                <w:lang w:val="nl-NL"/>
              </w:rPr>
              <w:t xml:space="preserve"> in de premie inbegrepen opslag voor premievrijstelling bij arbeidsongeschiktheid</w:t>
            </w:r>
            <w:r>
              <w:rPr>
                <w:lang w:val="nl-NL"/>
              </w:rPr>
              <w:t>.</w:t>
            </w:r>
            <w:r w:rsidRPr="00CA1B5F">
              <w:rPr>
                <w:lang w:val="nl-NL"/>
              </w:rPr>
              <w:t xml:space="preserve"> </w:t>
            </w:r>
          </w:p>
        </w:tc>
      </w:tr>
      <w:tr w:rsidR="001B427C" w:rsidRPr="000A7159" w14:paraId="7860256C" w14:textId="77777777" w:rsidTr="001B427C">
        <w:tc>
          <w:tcPr>
            <w:tcW w:w="2933" w:type="dxa"/>
          </w:tcPr>
          <w:p w14:paraId="7970501D" w14:textId="77777777" w:rsidR="001B427C" w:rsidRPr="00CA1B5F" w:rsidRDefault="001B427C" w:rsidP="001B427C">
            <w:pPr>
              <w:spacing w:before="20" w:after="20"/>
              <w:rPr>
                <w:lang w:val="nl-NL"/>
              </w:rPr>
            </w:pPr>
            <w:r w:rsidRPr="00CA1B5F">
              <w:rPr>
                <w:lang w:val="nl-NL"/>
              </w:rPr>
              <w:t>Premievrijstelling toekomstig arbeidsongeschiktheidsrisico inloopgroep</w:t>
            </w:r>
          </w:p>
        </w:tc>
        <w:tc>
          <w:tcPr>
            <w:tcW w:w="6138" w:type="dxa"/>
          </w:tcPr>
          <w:p w14:paraId="64BE6CC8" w14:textId="77777777" w:rsidR="001B427C" w:rsidRPr="00CA1B5F" w:rsidRDefault="001B427C" w:rsidP="001B427C">
            <w:pPr>
              <w:spacing w:before="20" w:after="20"/>
              <w:rPr>
                <w:lang w:val="nl-NL"/>
              </w:rPr>
            </w:pPr>
            <w:r w:rsidRPr="00CA1B5F">
              <w:rPr>
                <w:lang w:val="nl-NL"/>
              </w:rPr>
              <w:t>Voor de groep deelnemers die onder het inlooprisico arbeidsongeschiktheid vallen, wordt een voorziening getroffen bovenop de voorziening premievrijstelling toekomstig arbeidsongeschiktheidsrisico voor zover de premievrijstelling toekomstig arbeidsongeschiktheidsrisico niet toereikend is.</w:t>
            </w:r>
          </w:p>
        </w:tc>
      </w:tr>
      <w:tr w:rsidR="001B427C" w:rsidRPr="000A7159" w14:paraId="53C451E9" w14:textId="77777777" w:rsidTr="001B427C">
        <w:tc>
          <w:tcPr>
            <w:tcW w:w="2933" w:type="dxa"/>
          </w:tcPr>
          <w:p w14:paraId="7036AC4B" w14:textId="77777777" w:rsidR="001B427C" w:rsidRPr="00CA1B5F" w:rsidRDefault="001B427C" w:rsidP="001B427C">
            <w:pPr>
              <w:spacing w:before="20" w:after="20"/>
              <w:rPr>
                <w:lang w:val="nl-NL"/>
              </w:rPr>
            </w:pPr>
            <w:r w:rsidRPr="00CA1B5F">
              <w:rPr>
                <w:lang w:val="nl-NL"/>
              </w:rPr>
              <w:t>Revalidatie</w:t>
            </w:r>
          </w:p>
        </w:tc>
        <w:tc>
          <w:tcPr>
            <w:tcW w:w="6138" w:type="dxa"/>
          </w:tcPr>
          <w:p w14:paraId="7C7C9DF2" w14:textId="77777777" w:rsidR="001B427C" w:rsidRPr="00CA1B5F" w:rsidRDefault="001B427C" w:rsidP="001B427C">
            <w:pPr>
              <w:spacing w:before="20" w:after="20"/>
              <w:rPr>
                <w:lang w:val="nl-NL"/>
              </w:rPr>
            </w:pPr>
            <w:r w:rsidRPr="00CA1B5F">
              <w:rPr>
                <w:lang w:val="nl-NL"/>
              </w:rPr>
              <w:t xml:space="preserve">De revalidatiekansen worden vanuit prudentieoogpunt op 0% gesteld. </w:t>
            </w:r>
          </w:p>
        </w:tc>
      </w:tr>
      <w:tr w:rsidR="001B427C" w:rsidRPr="000A7159" w14:paraId="0E56A40F" w14:textId="77777777" w:rsidTr="001B427C">
        <w:tc>
          <w:tcPr>
            <w:tcW w:w="2933" w:type="dxa"/>
          </w:tcPr>
          <w:p w14:paraId="2D87415F" w14:textId="77777777" w:rsidR="001B427C" w:rsidRPr="00CA1B5F" w:rsidRDefault="001B427C" w:rsidP="001B427C">
            <w:pPr>
              <w:spacing w:before="20" w:after="20"/>
              <w:rPr>
                <w:lang w:val="nl-NL"/>
              </w:rPr>
            </w:pPr>
            <w:r w:rsidRPr="00CA1B5F">
              <w:rPr>
                <w:lang w:val="nl-NL"/>
              </w:rPr>
              <w:t>Uitkeringen</w:t>
            </w:r>
          </w:p>
        </w:tc>
        <w:tc>
          <w:tcPr>
            <w:tcW w:w="6138" w:type="dxa"/>
          </w:tcPr>
          <w:p w14:paraId="38E3984D" w14:textId="77777777" w:rsidR="001B427C" w:rsidRPr="00CA1B5F" w:rsidRDefault="001B427C" w:rsidP="001B427C">
            <w:pPr>
              <w:spacing w:before="20" w:after="20"/>
              <w:rPr>
                <w:lang w:val="nl-NL"/>
              </w:rPr>
            </w:pPr>
            <w:r w:rsidRPr="00CA1B5F">
              <w:rPr>
                <w:lang w:val="nl-NL"/>
              </w:rPr>
              <w:t>Bij de waardering van de aanspraken is uitgegaan van de veronderstelling dat de pensioenuitkeringen continu geschieden.</w:t>
            </w:r>
          </w:p>
        </w:tc>
      </w:tr>
      <w:tr w:rsidR="001B427C" w:rsidRPr="000A7159" w14:paraId="5ED33CF7" w14:textId="77777777" w:rsidTr="001B427C">
        <w:tc>
          <w:tcPr>
            <w:tcW w:w="2933" w:type="dxa"/>
          </w:tcPr>
          <w:p w14:paraId="2CE07E03" w14:textId="77777777" w:rsidR="001B427C" w:rsidRPr="00CA1B5F" w:rsidRDefault="001B427C" w:rsidP="001B427C">
            <w:pPr>
              <w:spacing w:before="20" w:after="20"/>
              <w:rPr>
                <w:lang w:val="nl-NL"/>
              </w:rPr>
            </w:pPr>
            <w:r w:rsidRPr="00CA1B5F">
              <w:rPr>
                <w:lang w:val="nl-NL"/>
              </w:rPr>
              <w:t xml:space="preserve">Opslag voor </w:t>
            </w:r>
            <w:r>
              <w:rPr>
                <w:lang w:val="nl-NL"/>
              </w:rPr>
              <w:br/>
            </w:r>
            <w:r w:rsidRPr="00CA1B5F">
              <w:rPr>
                <w:lang w:val="nl-NL"/>
              </w:rPr>
              <w:t>toekomstige kosten</w:t>
            </w:r>
          </w:p>
        </w:tc>
        <w:tc>
          <w:tcPr>
            <w:tcW w:w="6138" w:type="dxa"/>
          </w:tcPr>
          <w:p w14:paraId="3B4EF329" w14:textId="402E1D2C" w:rsidR="001B427C" w:rsidRPr="00CA1B5F" w:rsidRDefault="001B427C" w:rsidP="001B427C">
            <w:pPr>
              <w:spacing w:before="20" w:after="20"/>
              <w:rPr>
                <w:lang w:val="nl-NL"/>
              </w:rPr>
            </w:pPr>
            <w:r w:rsidRPr="00CA1B5F">
              <w:rPr>
                <w:lang w:val="nl-NL"/>
              </w:rPr>
              <w:t>2,</w:t>
            </w:r>
            <w:r w:rsidR="006306BE">
              <w:rPr>
                <w:lang w:val="nl-NL"/>
              </w:rPr>
              <w:t>5</w:t>
            </w:r>
            <w:r w:rsidRPr="00CA1B5F">
              <w:rPr>
                <w:lang w:val="nl-NL"/>
              </w:rPr>
              <w:t>% van de voorziening pensioenverplichtingen</w:t>
            </w:r>
            <w:r>
              <w:rPr>
                <w:lang w:val="nl-NL"/>
              </w:rPr>
              <w:t>.</w:t>
            </w:r>
            <w:r w:rsidR="00CF0E8D">
              <w:rPr>
                <w:lang w:val="nl-NL"/>
              </w:rPr>
              <w:t xml:space="preserve"> V</w:t>
            </w:r>
            <w:r w:rsidR="00CF0E8D" w:rsidRPr="00A9080C">
              <w:rPr>
                <w:lang w:val="nl-NL"/>
              </w:rPr>
              <w:t xml:space="preserve">oor de vaststelling van de kostenvoorziening wordt </w:t>
            </w:r>
            <w:r w:rsidR="003201E4">
              <w:rPr>
                <w:lang w:val="nl-NL"/>
              </w:rPr>
              <w:t>uit</w:t>
            </w:r>
            <w:r w:rsidR="00CF0E8D" w:rsidRPr="00A9080C">
              <w:rPr>
                <w:lang w:val="nl-NL"/>
              </w:rPr>
              <w:t>gegaan van een liquidatiescenario</w:t>
            </w:r>
          </w:p>
        </w:tc>
      </w:tr>
    </w:tbl>
    <w:p w14:paraId="68D6BE19" w14:textId="77777777" w:rsidR="00795D82" w:rsidRPr="00795D82" w:rsidRDefault="00795D82" w:rsidP="00451E81">
      <w:pPr>
        <w:rPr>
          <w:lang w:val="nl-NL"/>
        </w:rPr>
      </w:pPr>
    </w:p>
    <w:p w14:paraId="1147B447" w14:textId="77777777" w:rsidR="00CA1B5F" w:rsidRDefault="00CA1B5F">
      <w:pPr>
        <w:spacing w:after="200" w:line="276" w:lineRule="auto"/>
        <w:rPr>
          <w:lang w:val="nl-NL"/>
        </w:rPr>
      </w:pPr>
      <w:r>
        <w:rPr>
          <w:lang w:val="nl-NL"/>
        </w:rPr>
        <w:br w:type="page"/>
      </w:r>
    </w:p>
    <w:p w14:paraId="06DBD08D" w14:textId="2F54AFD5" w:rsidR="00795D82" w:rsidRDefault="00CA1B5F" w:rsidP="00CA1B5F">
      <w:pPr>
        <w:pStyle w:val="Kop1"/>
        <w:numPr>
          <w:ilvl w:val="0"/>
          <w:numId w:val="0"/>
        </w:numPr>
        <w:rPr>
          <w:rFonts w:hint="eastAsia"/>
          <w:lang w:val="nl-NL"/>
        </w:rPr>
      </w:pPr>
      <w:bookmarkStart w:id="63" w:name="_Toc231804785"/>
      <w:r>
        <w:rPr>
          <w:lang w:val="nl-NL"/>
        </w:rPr>
        <w:lastRenderedPageBreak/>
        <w:t>BIJLAGE 2: Ervaringssterfte</w:t>
      </w:r>
      <w:r w:rsidR="000326ED">
        <w:rPr>
          <w:lang w:val="nl-NL"/>
        </w:rPr>
        <w:t xml:space="preserve"> en partnerfrequentie</w:t>
      </w:r>
      <w:r>
        <w:rPr>
          <w:lang w:val="nl-NL"/>
        </w:rPr>
        <w:t xml:space="preserve"> </w:t>
      </w:r>
      <w:r w:rsidR="00D7357C">
        <w:rPr>
          <w:lang w:val="nl-NL"/>
        </w:rPr>
        <w:t>ING CDC Pensioenfonds</w:t>
      </w:r>
      <w:bookmarkEnd w:id="63"/>
    </w:p>
    <w:p w14:paraId="5EEA57B1" w14:textId="77777777" w:rsidR="000326ED" w:rsidRDefault="000326ED" w:rsidP="00BE1489">
      <w:pPr>
        <w:rPr>
          <w:lang w:val="nl-NL"/>
        </w:rPr>
      </w:pPr>
    </w:p>
    <w:p w14:paraId="5F330EEB" w14:textId="04BE8347" w:rsidR="000326ED" w:rsidRPr="000326ED" w:rsidRDefault="000326ED" w:rsidP="00BE1489">
      <w:pPr>
        <w:rPr>
          <w:lang w:val="nl-NL"/>
        </w:rPr>
      </w:pPr>
      <w:r w:rsidRPr="00FA4EC2">
        <w:rPr>
          <w:b/>
          <w:lang w:val="nl-NL"/>
        </w:rPr>
        <w:t>Ervaringssterfte</w:t>
      </w:r>
    </w:p>
    <w:p w14:paraId="39DC7303" w14:textId="77777777" w:rsidR="00CA1B5F" w:rsidRDefault="00CA1B5F" w:rsidP="00451E81">
      <w:pPr>
        <w:rPr>
          <w:lang w:val="nl-NL"/>
        </w:rPr>
      </w:pPr>
    </w:p>
    <w:p w14:paraId="5934FFFF" w14:textId="79872054" w:rsidR="00795D82" w:rsidRDefault="00795D82" w:rsidP="00451E81">
      <w:pPr>
        <w:rPr>
          <w:lang w:val="nl-NL"/>
        </w:rPr>
      </w:pPr>
    </w:p>
    <w:p w14:paraId="372EA50C" w14:textId="55AAE20D" w:rsidR="00103846" w:rsidRDefault="000E34E8">
      <w:pPr>
        <w:spacing w:after="200" w:line="276" w:lineRule="auto"/>
        <w:rPr>
          <w:b/>
          <w:lang w:val="nl-NL"/>
        </w:rPr>
      </w:pPr>
      <w:r w:rsidRPr="000E34E8">
        <w:rPr>
          <w:noProof/>
        </w:rPr>
        <w:drawing>
          <wp:inline distT="0" distB="0" distL="0" distR="0" wp14:anchorId="17AEECDC" wp14:editId="5FDFE410">
            <wp:extent cx="5760085" cy="5441950"/>
            <wp:effectExtent l="0" t="0" r="0" b="6350"/>
            <wp:docPr id="192182957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829572" name=""/>
                    <pic:cNvPicPr/>
                  </pic:nvPicPr>
                  <pic:blipFill>
                    <a:blip r:embed="rId14"/>
                    <a:stretch>
                      <a:fillRect/>
                    </a:stretch>
                  </pic:blipFill>
                  <pic:spPr>
                    <a:xfrm>
                      <a:off x="0" y="0"/>
                      <a:ext cx="5760085" cy="5441950"/>
                    </a:xfrm>
                    <a:prstGeom prst="rect">
                      <a:avLst/>
                    </a:prstGeom>
                  </pic:spPr>
                </pic:pic>
              </a:graphicData>
            </a:graphic>
          </wp:inline>
        </w:drawing>
      </w:r>
    </w:p>
    <w:p w14:paraId="22C93723" w14:textId="7B60E24A" w:rsidR="000326ED" w:rsidRPr="00FA4EC2" w:rsidRDefault="00787C62" w:rsidP="001C2EF5">
      <w:pPr>
        <w:spacing w:after="200" w:line="276" w:lineRule="auto"/>
        <w:rPr>
          <w:b/>
          <w:lang w:val="nl-NL"/>
        </w:rPr>
      </w:pPr>
      <w:r>
        <w:rPr>
          <w:b/>
          <w:lang w:val="nl-NL"/>
        </w:rPr>
        <w:br w:type="page"/>
      </w:r>
      <w:r w:rsidR="000326ED" w:rsidRPr="00FA4EC2">
        <w:rPr>
          <w:b/>
          <w:lang w:val="nl-NL"/>
        </w:rPr>
        <w:lastRenderedPageBreak/>
        <w:t>Partnerfrequentie</w:t>
      </w:r>
    </w:p>
    <w:p w14:paraId="085CEC82" w14:textId="77777777" w:rsidR="000326ED" w:rsidRDefault="000326ED" w:rsidP="00451E81">
      <w:pPr>
        <w:rPr>
          <w:lang w:val="nl-NL"/>
        </w:rPr>
      </w:pPr>
    </w:p>
    <w:tbl>
      <w:tblPr>
        <w:tblW w:w="6720" w:type="dxa"/>
        <w:tblCellMar>
          <w:left w:w="70" w:type="dxa"/>
          <w:right w:w="70" w:type="dxa"/>
        </w:tblCellMar>
        <w:tblLook w:val="04A0" w:firstRow="1" w:lastRow="0" w:firstColumn="1" w:lastColumn="0" w:noHBand="0" w:noVBand="1"/>
      </w:tblPr>
      <w:tblGrid>
        <w:gridCol w:w="960"/>
        <w:gridCol w:w="960"/>
        <w:gridCol w:w="960"/>
        <w:gridCol w:w="960"/>
        <w:gridCol w:w="960"/>
        <w:gridCol w:w="960"/>
        <w:gridCol w:w="960"/>
      </w:tblGrid>
      <w:tr w:rsidR="009D00EE" w:rsidRPr="009D00EE" w14:paraId="2F505C20" w14:textId="77777777" w:rsidTr="009D00EE">
        <w:trPr>
          <w:trHeight w:val="300"/>
        </w:trPr>
        <w:tc>
          <w:tcPr>
            <w:tcW w:w="960" w:type="dxa"/>
            <w:tcBorders>
              <w:top w:val="nil"/>
              <w:left w:val="nil"/>
              <w:bottom w:val="nil"/>
              <w:right w:val="nil"/>
            </w:tcBorders>
            <w:noWrap/>
            <w:vAlign w:val="bottom"/>
            <w:hideMark/>
          </w:tcPr>
          <w:p w14:paraId="65B952A6" w14:textId="77777777" w:rsidR="009D00EE" w:rsidRPr="009D00EE" w:rsidRDefault="009D00EE" w:rsidP="009D00EE">
            <w:pPr>
              <w:spacing w:line="240" w:lineRule="auto"/>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Leeftijd</w:t>
            </w:r>
          </w:p>
        </w:tc>
        <w:tc>
          <w:tcPr>
            <w:tcW w:w="960" w:type="dxa"/>
            <w:tcBorders>
              <w:top w:val="nil"/>
              <w:left w:val="nil"/>
              <w:bottom w:val="nil"/>
              <w:right w:val="nil"/>
            </w:tcBorders>
            <w:noWrap/>
            <w:vAlign w:val="bottom"/>
            <w:hideMark/>
          </w:tcPr>
          <w:p w14:paraId="11A491DC" w14:textId="77777777" w:rsidR="009D00EE" w:rsidRPr="009D00EE" w:rsidRDefault="009D00EE" w:rsidP="009D00EE">
            <w:pPr>
              <w:spacing w:line="240" w:lineRule="auto"/>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man</w:t>
            </w:r>
          </w:p>
        </w:tc>
        <w:tc>
          <w:tcPr>
            <w:tcW w:w="960" w:type="dxa"/>
            <w:tcBorders>
              <w:top w:val="nil"/>
              <w:left w:val="nil"/>
              <w:bottom w:val="nil"/>
              <w:right w:val="nil"/>
            </w:tcBorders>
            <w:noWrap/>
            <w:vAlign w:val="bottom"/>
            <w:hideMark/>
          </w:tcPr>
          <w:p w14:paraId="717C5972" w14:textId="77777777" w:rsidR="009D00EE" w:rsidRPr="009D00EE" w:rsidRDefault="009D00EE" w:rsidP="009D00EE">
            <w:pPr>
              <w:spacing w:line="240" w:lineRule="auto"/>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vrouw</w:t>
            </w:r>
          </w:p>
        </w:tc>
        <w:tc>
          <w:tcPr>
            <w:tcW w:w="960" w:type="dxa"/>
            <w:tcBorders>
              <w:top w:val="nil"/>
              <w:left w:val="nil"/>
              <w:bottom w:val="nil"/>
              <w:right w:val="nil"/>
            </w:tcBorders>
            <w:noWrap/>
            <w:vAlign w:val="bottom"/>
            <w:hideMark/>
          </w:tcPr>
          <w:p w14:paraId="4A8050EA" w14:textId="77777777" w:rsidR="009D00EE" w:rsidRPr="009D00EE" w:rsidRDefault="009D00EE" w:rsidP="009D00EE">
            <w:pPr>
              <w:spacing w:line="240" w:lineRule="auto"/>
              <w:rPr>
                <w:rFonts w:ascii="Calibri" w:eastAsia="Times New Roman" w:hAnsi="Calibri" w:cs="Times New Roman"/>
                <w:color w:val="000000"/>
                <w:sz w:val="22"/>
                <w:lang w:val="nl-NL" w:eastAsia="nl-NL"/>
              </w:rPr>
            </w:pPr>
          </w:p>
        </w:tc>
        <w:tc>
          <w:tcPr>
            <w:tcW w:w="960" w:type="dxa"/>
            <w:tcBorders>
              <w:top w:val="nil"/>
              <w:left w:val="nil"/>
              <w:bottom w:val="nil"/>
              <w:right w:val="nil"/>
            </w:tcBorders>
            <w:noWrap/>
            <w:vAlign w:val="bottom"/>
            <w:hideMark/>
          </w:tcPr>
          <w:p w14:paraId="37AD0D6E" w14:textId="77777777" w:rsidR="009D00EE" w:rsidRPr="009D00EE" w:rsidRDefault="009D00EE" w:rsidP="009D00EE">
            <w:pPr>
              <w:spacing w:line="240" w:lineRule="auto"/>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Leeftijd</w:t>
            </w:r>
          </w:p>
        </w:tc>
        <w:tc>
          <w:tcPr>
            <w:tcW w:w="960" w:type="dxa"/>
            <w:tcBorders>
              <w:top w:val="nil"/>
              <w:left w:val="nil"/>
              <w:bottom w:val="nil"/>
              <w:right w:val="nil"/>
            </w:tcBorders>
            <w:noWrap/>
            <w:vAlign w:val="bottom"/>
            <w:hideMark/>
          </w:tcPr>
          <w:p w14:paraId="04E9086F" w14:textId="77777777" w:rsidR="009D00EE" w:rsidRPr="009D00EE" w:rsidRDefault="009D00EE" w:rsidP="009D00EE">
            <w:pPr>
              <w:spacing w:line="240" w:lineRule="auto"/>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man</w:t>
            </w:r>
          </w:p>
        </w:tc>
        <w:tc>
          <w:tcPr>
            <w:tcW w:w="960" w:type="dxa"/>
            <w:tcBorders>
              <w:top w:val="nil"/>
              <w:left w:val="nil"/>
              <w:bottom w:val="nil"/>
              <w:right w:val="nil"/>
            </w:tcBorders>
            <w:noWrap/>
            <w:vAlign w:val="bottom"/>
            <w:hideMark/>
          </w:tcPr>
          <w:p w14:paraId="7AF54B22" w14:textId="77777777" w:rsidR="009D00EE" w:rsidRPr="009D00EE" w:rsidRDefault="009D00EE" w:rsidP="009D00EE">
            <w:pPr>
              <w:spacing w:line="240" w:lineRule="auto"/>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vrouw</w:t>
            </w:r>
          </w:p>
        </w:tc>
      </w:tr>
      <w:tr w:rsidR="009D00EE" w:rsidRPr="009D00EE" w14:paraId="69F82623" w14:textId="77777777" w:rsidTr="009D00EE">
        <w:trPr>
          <w:trHeight w:val="300"/>
        </w:trPr>
        <w:tc>
          <w:tcPr>
            <w:tcW w:w="960" w:type="dxa"/>
            <w:tcBorders>
              <w:top w:val="nil"/>
              <w:left w:val="nil"/>
              <w:bottom w:val="nil"/>
              <w:right w:val="nil"/>
            </w:tcBorders>
            <w:noWrap/>
            <w:vAlign w:val="bottom"/>
            <w:hideMark/>
          </w:tcPr>
          <w:p w14:paraId="38EB0C5F"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18</w:t>
            </w:r>
          </w:p>
        </w:tc>
        <w:tc>
          <w:tcPr>
            <w:tcW w:w="960" w:type="dxa"/>
            <w:tcBorders>
              <w:top w:val="nil"/>
              <w:left w:val="nil"/>
              <w:bottom w:val="nil"/>
              <w:right w:val="nil"/>
            </w:tcBorders>
            <w:noWrap/>
            <w:vAlign w:val="bottom"/>
            <w:hideMark/>
          </w:tcPr>
          <w:p w14:paraId="2C465CB3"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0</w:t>
            </w:r>
          </w:p>
        </w:tc>
        <w:tc>
          <w:tcPr>
            <w:tcW w:w="960" w:type="dxa"/>
            <w:tcBorders>
              <w:top w:val="nil"/>
              <w:left w:val="nil"/>
              <w:bottom w:val="nil"/>
              <w:right w:val="nil"/>
            </w:tcBorders>
            <w:noWrap/>
            <w:vAlign w:val="bottom"/>
            <w:hideMark/>
          </w:tcPr>
          <w:p w14:paraId="225EFDBF"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0</w:t>
            </w:r>
          </w:p>
        </w:tc>
        <w:tc>
          <w:tcPr>
            <w:tcW w:w="960" w:type="dxa"/>
            <w:tcBorders>
              <w:top w:val="nil"/>
              <w:left w:val="nil"/>
              <w:bottom w:val="nil"/>
              <w:right w:val="nil"/>
            </w:tcBorders>
            <w:noWrap/>
            <w:vAlign w:val="bottom"/>
            <w:hideMark/>
          </w:tcPr>
          <w:p w14:paraId="31393D23"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p>
        </w:tc>
        <w:tc>
          <w:tcPr>
            <w:tcW w:w="960" w:type="dxa"/>
            <w:tcBorders>
              <w:top w:val="nil"/>
              <w:left w:val="nil"/>
              <w:bottom w:val="nil"/>
              <w:right w:val="nil"/>
            </w:tcBorders>
            <w:noWrap/>
            <w:vAlign w:val="bottom"/>
            <w:hideMark/>
          </w:tcPr>
          <w:p w14:paraId="7BEB3CC1"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43</w:t>
            </w:r>
          </w:p>
        </w:tc>
        <w:tc>
          <w:tcPr>
            <w:tcW w:w="960" w:type="dxa"/>
            <w:tcBorders>
              <w:top w:val="nil"/>
              <w:left w:val="nil"/>
              <w:bottom w:val="nil"/>
              <w:right w:val="nil"/>
            </w:tcBorders>
            <w:noWrap/>
            <w:vAlign w:val="bottom"/>
            <w:hideMark/>
          </w:tcPr>
          <w:p w14:paraId="0A86BE8A"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87.50%</w:t>
            </w:r>
          </w:p>
        </w:tc>
        <w:tc>
          <w:tcPr>
            <w:tcW w:w="960" w:type="dxa"/>
            <w:tcBorders>
              <w:top w:val="nil"/>
              <w:left w:val="nil"/>
              <w:bottom w:val="nil"/>
              <w:right w:val="nil"/>
            </w:tcBorders>
            <w:noWrap/>
            <w:vAlign w:val="bottom"/>
            <w:hideMark/>
          </w:tcPr>
          <w:p w14:paraId="6E486283"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76%</w:t>
            </w:r>
          </w:p>
        </w:tc>
      </w:tr>
      <w:tr w:rsidR="009D00EE" w:rsidRPr="009D00EE" w14:paraId="78818511" w14:textId="77777777" w:rsidTr="009D00EE">
        <w:trPr>
          <w:trHeight w:val="300"/>
        </w:trPr>
        <w:tc>
          <w:tcPr>
            <w:tcW w:w="960" w:type="dxa"/>
            <w:tcBorders>
              <w:top w:val="nil"/>
              <w:left w:val="nil"/>
              <w:bottom w:val="nil"/>
              <w:right w:val="nil"/>
            </w:tcBorders>
            <w:noWrap/>
            <w:vAlign w:val="bottom"/>
            <w:hideMark/>
          </w:tcPr>
          <w:p w14:paraId="6FDBF1F1"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19</w:t>
            </w:r>
          </w:p>
        </w:tc>
        <w:tc>
          <w:tcPr>
            <w:tcW w:w="960" w:type="dxa"/>
            <w:tcBorders>
              <w:top w:val="nil"/>
              <w:left w:val="nil"/>
              <w:bottom w:val="nil"/>
              <w:right w:val="nil"/>
            </w:tcBorders>
            <w:noWrap/>
            <w:vAlign w:val="bottom"/>
            <w:hideMark/>
          </w:tcPr>
          <w:p w14:paraId="63DD9399"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2.5%</w:t>
            </w:r>
          </w:p>
        </w:tc>
        <w:tc>
          <w:tcPr>
            <w:tcW w:w="960" w:type="dxa"/>
            <w:tcBorders>
              <w:top w:val="nil"/>
              <w:left w:val="nil"/>
              <w:bottom w:val="nil"/>
              <w:right w:val="nil"/>
            </w:tcBorders>
            <w:noWrap/>
            <w:vAlign w:val="bottom"/>
            <w:hideMark/>
          </w:tcPr>
          <w:p w14:paraId="467447E6"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2.5%</w:t>
            </w:r>
          </w:p>
        </w:tc>
        <w:tc>
          <w:tcPr>
            <w:tcW w:w="960" w:type="dxa"/>
            <w:tcBorders>
              <w:top w:val="nil"/>
              <w:left w:val="nil"/>
              <w:bottom w:val="nil"/>
              <w:right w:val="nil"/>
            </w:tcBorders>
            <w:noWrap/>
            <w:vAlign w:val="bottom"/>
            <w:hideMark/>
          </w:tcPr>
          <w:p w14:paraId="75F70AEF"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p>
        </w:tc>
        <w:tc>
          <w:tcPr>
            <w:tcW w:w="960" w:type="dxa"/>
            <w:tcBorders>
              <w:top w:val="nil"/>
              <w:left w:val="nil"/>
              <w:bottom w:val="nil"/>
              <w:right w:val="nil"/>
            </w:tcBorders>
            <w:noWrap/>
            <w:vAlign w:val="bottom"/>
            <w:hideMark/>
          </w:tcPr>
          <w:p w14:paraId="216B5E80"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44</w:t>
            </w:r>
          </w:p>
        </w:tc>
        <w:tc>
          <w:tcPr>
            <w:tcW w:w="960" w:type="dxa"/>
            <w:tcBorders>
              <w:top w:val="nil"/>
              <w:left w:val="nil"/>
              <w:bottom w:val="nil"/>
              <w:right w:val="nil"/>
            </w:tcBorders>
            <w:noWrap/>
            <w:vAlign w:val="bottom"/>
            <w:hideMark/>
          </w:tcPr>
          <w:p w14:paraId="2F1508BA"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87.50%</w:t>
            </w:r>
          </w:p>
        </w:tc>
        <w:tc>
          <w:tcPr>
            <w:tcW w:w="960" w:type="dxa"/>
            <w:tcBorders>
              <w:top w:val="nil"/>
              <w:left w:val="nil"/>
              <w:bottom w:val="nil"/>
              <w:right w:val="nil"/>
            </w:tcBorders>
            <w:noWrap/>
            <w:vAlign w:val="bottom"/>
            <w:hideMark/>
          </w:tcPr>
          <w:p w14:paraId="54FC9233"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76%</w:t>
            </w:r>
          </w:p>
        </w:tc>
      </w:tr>
      <w:tr w:rsidR="009D00EE" w:rsidRPr="009D00EE" w14:paraId="1370D8C0" w14:textId="77777777" w:rsidTr="009D00EE">
        <w:trPr>
          <w:trHeight w:val="300"/>
        </w:trPr>
        <w:tc>
          <w:tcPr>
            <w:tcW w:w="960" w:type="dxa"/>
            <w:tcBorders>
              <w:top w:val="nil"/>
              <w:left w:val="nil"/>
              <w:bottom w:val="nil"/>
              <w:right w:val="nil"/>
            </w:tcBorders>
            <w:noWrap/>
            <w:vAlign w:val="bottom"/>
            <w:hideMark/>
          </w:tcPr>
          <w:p w14:paraId="1BDAD583"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20</w:t>
            </w:r>
          </w:p>
        </w:tc>
        <w:tc>
          <w:tcPr>
            <w:tcW w:w="960" w:type="dxa"/>
            <w:tcBorders>
              <w:top w:val="nil"/>
              <w:left w:val="nil"/>
              <w:bottom w:val="nil"/>
              <w:right w:val="nil"/>
            </w:tcBorders>
            <w:noWrap/>
            <w:vAlign w:val="bottom"/>
            <w:hideMark/>
          </w:tcPr>
          <w:p w14:paraId="353DD1A4"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5.0%</w:t>
            </w:r>
          </w:p>
        </w:tc>
        <w:tc>
          <w:tcPr>
            <w:tcW w:w="960" w:type="dxa"/>
            <w:tcBorders>
              <w:top w:val="nil"/>
              <w:left w:val="nil"/>
              <w:bottom w:val="nil"/>
              <w:right w:val="nil"/>
            </w:tcBorders>
            <w:noWrap/>
            <w:vAlign w:val="bottom"/>
            <w:hideMark/>
          </w:tcPr>
          <w:p w14:paraId="1FA04C42"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5.0%</w:t>
            </w:r>
          </w:p>
        </w:tc>
        <w:tc>
          <w:tcPr>
            <w:tcW w:w="960" w:type="dxa"/>
            <w:tcBorders>
              <w:top w:val="nil"/>
              <w:left w:val="nil"/>
              <w:bottom w:val="nil"/>
              <w:right w:val="nil"/>
            </w:tcBorders>
            <w:noWrap/>
            <w:vAlign w:val="bottom"/>
            <w:hideMark/>
          </w:tcPr>
          <w:p w14:paraId="639A44FC"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p>
        </w:tc>
        <w:tc>
          <w:tcPr>
            <w:tcW w:w="960" w:type="dxa"/>
            <w:tcBorders>
              <w:top w:val="nil"/>
              <w:left w:val="nil"/>
              <w:bottom w:val="nil"/>
              <w:right w:val="nil"/>
            </w:tcBorders>
            <w:noWrap/>
            <w:vAlign w:val="bottom"/>
            <w:hideMark/>
          </w:tcPr>
          <w:p w14:paraId="30555C8D"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45</w:t>
            </w:r>
          </w:p>
        </w:tc>
        <w:tc>
          <w:tcPr>
            <w:tcW w:w="960" w:type="dxa"/>
            <w:tcBorders>
              <w:top w:val="nil"/>
              <w:left w:val="nil"/>
              <w:bottom w:val="nil"/>
              <w:right w:val="nil"/>
            </w:tcBorders>
            <w:noWrap/>
            <w:vAlign w:val="bottom"/>
            <w:hideMark/>
          </w:tcPr>
          <w:p w14:paraId="55CC615E"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87.50%</w:t>
            </w:r>
          </w:p>
        </w:tc>
        <w:tc>
          <w:tcPr>
            <w:tcW w:w="960" w:type="dxa"/>
            <w:tcBorders>
              <w:top w:val="nil"/>
              <w:left w:val="nil"/>
              <w:bottom w:val="nil"/>
              <w:right w:val="nil"/>
            </w:tcBorders>
            <w:noWrap/>
            <w:vAlign w:val="bottom"/>
            <w:hideMark/>
          </w:tcPr>
          <w:p w14:paraId="1CC02C51"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76%</w:t>
            </w:r>
          </w:p>
        </w:tc>
      </w:tr>
      <w:tr w:rsidR="009D00EE" w:rsidRPr="009D00EE" w14:paraId="59F596D6" w14:textId="77777777" w:rsidTr="009D00EE">
        <w:trPr>
          <w:trHeight w:val="300"/>
        </w:trPr>
        <w:tc>
          <w:tcPr>
            <w:tcW w:w="960" w:type="dxa"/>
            <w:tcBorders>
              <w:top w:val="nil"/>
              <w:left w:val="nil"/>
              <w:bottom w:val="nil"/>
              <w:right w:val="nil"/>
            </w:tcBorders>
            <w:noWrap/>
            <w:vAlign w:val="bottom"/>
            <w:hideMark/>
          </w:tcPr>
          <w:p w14:paraId="6B37EF80"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21</w:t>
            </w:r>
          </w:p>
        </w:tc>
        <w:tc>
          <w:tcPr>
            <w:tcW w:w="960" w:type="dxa"/>
            <w:tcBorders>
              <w:top w:val="nil"/>
              <w:left w:val="nil"/>
              <w:bottom w:val="nil"/>
              <w:right w:val="nil"/>
            </w:tcBorders>
            <w:noWrap/>
            <w:vAlign w:val="bottom"/>
            <w:hideMark/>
          </w:tcPr>
          <w:p w14:paraId="5BEBF2B7"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7.5%</w:t>
            </w:r>
          </w:p>
        </w:tc>
        <w:tc>
          <w:tcPr>
            <w:tcW w:w="960" w:type="dxa"/>
            <w:tcBorders>
              <w:top w:val="nil"/>
              <w:left w:val="nil"/>
              <w:bottom w:val="nil"/>
              <w:right w:val="nil"/>
            </w:tcBorders>
            <w:noWrap/>
            <w:vAlign w:val="bottom"/>
            <w:hideMark/>
          </w:tcPr>
          <w:p w14:paraId="05CB4202"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7.5%</w:t>
            </w:r>
          </w:p>
        </w:tc>
        <w:tc>
          <w:tcPr>
            <w:tcW w:w="960" w:type="dxa"/>
            <w:tcBorders>
              <w:top w:val="nil"/>
              <w:left w:val="nil"/>
              <w:bottom w:val="nil"/>
              <w:right w:val="nil"/>
            </w:tcBorders>
            <w:noWrap/>
            <w:vAlign w:val="bottom"/>
            <w:hideMark/>
          </w:tcPr>
          <w:p w14:paraId="61AFECF0"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p>
        </w:tc>
        <w:tc>
          <w:tcPr>
            <w:tcW w:w="960" w:type="dxa"/>
            <w:tcBorders>
              <w:top w:val="nil"/>
              <w:left w:val="nil"/>
              <w:bottom w:val="nil"/>
              <w:right w:val="nil"/>
            </w:tcBorders>
            <w:noWrap/>
            <w:vAlign w:val="bottom"/>
            <w:hideMark/>
          </w:tcPr>
          <w:p w14:paraId="3521A574"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46</w:t>
            </w:r>
          </w:p>
        </w:tc>
        <w:tc>
          <w:tcPr>
            <w:tcW w:w="960" w:type="dxa"/>
            <w:tcBorders>
              <w:top w:val="nil"/>
              <w:left w:val="nil"/>
              <w:bottom w:val="nil"/>
              <w:right w:val="nil"/>
            </w:tcBorders>
            <w:noWrap/>
            <w:vAlign w:val="bottom"/>
            <w:hideMark/>
          </w:tcPr>
          <w:p w14:paraId="66D52D0D"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87.50%</w:t>
            </w:r>
          </w:p>
        </w:tc>
        <w:tc>
          <w:tcPr>
            <w:tcW w:w="960" w:type="dxa"/>
            <w:tcBorders>
              <w:top w:val="nil"/>
              <w:left w:val="nil"/>
              <w:bottom w:val="nil"/>
              <w:right w:val="nil"/>
            </w:tcBorders>
            <w:noWrap/>
            <w:vAlign w:val="bottom"/>
            <w:hideMark/>
          </w:tcPr>
          <w:p w14:paraId="1B2E4ABB"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76%</w:t>
            </w:r>
          </w:p>
        </w:tc>
      </w:tr>
      <w:tr w:rsidR="009D00EE" w:rsidRPr="009D00EE" w14:paraId="2D0057CB" w14:textId="77777777" w:rsidTr="009D00EE">
        <w:trPr>
          <w:trHeight w:val="300"/>
        </w:trPr>
        <w:tc>
          <w:tcPr>
            <w:tcW w:w="960" w:type="dxa"/>
            <w:tcBorders>
              <w:top w:val="nil"/>
              <w:left w:val="nil"/>
              <w:bottom w:val="nil"/>
              <w:right w:val="nil"/>
            </w:tcBorders>
            <w:noWrap/>
            <w:vAlign w:val="bottom"/>
            <w:hideMark/>
          </w:tcPr>
          <w:p w14:paraId="3DA884B5"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22</w:t>
            </w:r>
          </w:p>
        </w:tc>
        <w:tc>
          <w:tcPr>
            <w:tcW w:w="960" w:type="dxa"/>
            <w:tcBorders>
              <w:top w:val="nil"/>
              <w:left w:val="nil"/>
              <w:bottom w:val="nil"/>
              <w:right w:val="nil"/>
            </w:tcBorders>
            <w:noWrap/>
            <w:vAlign w:val="bottom"/>
            <w:hideMark/>
          </w:tcPr>
          <w:p w14:paraId="04F7DBFD"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10.0%</w:t>
            </w:r>
          </w:p>
        </w:tc>
        <w:tc>
          <w:tcPr>
            <w:tcW w:w="960" w:type="dxa"/>
            <w:tcBorders>
              <w:top w:val="nil"/>
              <w:left w:val="nil"/>
              <w:bottom w:val="nil"/>
              <w:right w:val="nil"/>
            </w:tcBorders>
            <w:noWrap/>
            <w:vAlign w:val="bottom"/>
            <w:hideMark/>
          </w:tcPr>
          <w:p w14:paraId="33BF3049"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10.0%</w:t>
            </w:r>
          </w:p>
        </w:tc>
        <w:tc>
          <w:tcPr>
            <w:tcW w:w="960" w:type="dxa"/>
            <w:tcBorders>
              <w:top w:val="nil"/>
              <w:left w:val="nil"/>
              <w:bottom w:val="nil"/>
              <w:right w:val="nil"/>
            </w:tcBorders>
            <w:noWrap/>
            <w:vAlign w:val="bottom"/>
            <w:hideMark/>
          </w:tcPr>
          <w:p w14:paraId="48AC1CE9"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p>
        </w:tc>
        <w:tc>
          <w:tcPr>
            <w:tcW w:w="960" w:type="dxa"/>
            <w:tcBorders>
              <w:top w:val="nil"/>
              <w:left w:val="nil"/>
              <w:bottom w:val="nil"/>
              <w:right w:val="nil"/>
            </w:tcBorders>
            <w:noWrap/>
            <w:vAlign w:val="bottom"/>
            <w:hideMark/>
          </w:tcPr>
          <w:p w14:paraId="0DDDFFEC"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47</w:t>
            </w:r>
          </w:p>
        </w:tc>
        <w:tc>
          <w:tcPr>
            <w:tcW w:w="960" w:type="dxa"/>
            <w:tcBorders>
              <w:top w:val="nil"/>
              <w:left w:val="nil"/>
              <w:bottom w:val="nil"/>
              <w:right w:val="nil"/>
            </w:tcBorders>
            <w:noWrap/>
            <w:vAlign w:val="bottom"/>
            <w:hideMark/>
          </w:tcPr>
          <w:p w14:paraId="18AFBC15"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87.50%</w:t>
            </w:r>
          </w:p>
        </w:tc>
        <w:tc>
          <w:tcPr>
            <w:tcW w:w="960" w:type="dxa"/>
            <w:tcBorders>
              <w:top w:val="nil"/>
              <w:left w:val="nil"/>
              <w:bottom w:val="nil"/>
              <w:right w:val="nil"/>
            </w:tcBorders>
            <w:noWrap/>
            <w:vAlign w:val="bottom"/>
            <w:hideMark/>
          </w:tcPr>
          <w:p w14:paraId="28CF1FB6"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76%</w:t>
            </w:r>
          </w:p>
        </w:tc>
      </w:tr>
      <w:tr w:rsidR="009D00EE" w:rsidRPr="009D00EE" w14:paraId="459083DE" w14:textId="77777777" w:rsidTr="009D00EE">
        <w:trPr>
          <w:trHeight w:val="300"/>
        </w:trPr>
        <w:tc>
          <w:tcPr>
            <w:tcW w:w="960" w:type="dxa"/>
            <w:tcBorders>
              <w:top w:val="nil"/>
              <w:left w:val="nil"/>
              <w:bottom w:val="nil"/>
              <w:right w:val="nil"/>
            </w:tcBorders>
            <w:noWrap/>
            <w:vAlign w:val="bottom"/>
            <w:hideMark/>
          </w:tcPr>
          <w:p w14:paraId="0134D5F3"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23</w:t>
            </w:r>
          </w:p>
        </w:tc>
        <w:tc>
          <w:tcPr>
            <w:tcW w:w="960" w:type="dxa"/>
            <w:tcBorders>
              <w:top w:val="nil"/>
              <w:left w:val="nil"/>
              <w:bottom w:val="nil"/>
              <w:right w:val="nil"/>
            </w:tcBorders>
            <w:noWrap/>
            <w:vAlign w:val="bottom"/>
            <w:hideMark/>
          </w:tcPr>
          <w:p w14:paraId="63007E87"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12.5%</w:t>
            </w:r>
          </w:p>
        </w:tc>
        <w:tc>
          <w:tcPr>
            <w:tcW w:w="960" w:type="dxa"/>
            <w:tcBorders>
              <w:top w:val="nil"/>
              <w:left w:val="nil"/>
              <w:bottom w:val="nil"/>
              <w:right w:val="nil"/>
            </w:tcBorders>
            <w:noWrap/>
            <w:vAlign w:val="bottom"/>
            <w:hideMark/>
          </w:tcPr>
          <w:p w14:paraId="2502E42D"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12.5%</w:t>
            </w:r>
          </w:p>
        </w:tc>
        <w:tc>
          <w:tcPr>
            <w:tcW w:w="960" w:type="dxa"/>
            <w:tcBorders>
              <w:top w:val="nil"/>
              <w:left w:val="nil"/>
              <w:bottom w:val="nil"/>
              <w:right w:val="nil"/>
            </w:tcBorders>
            <w:noWrap/>
            <w:vAlign w:val="bottom"/>
            <w:hideMark/>
          </w:tcPr>
          <w:p w14:paraId="7AF85D33"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p>
        </w:tc>
        <w:tc>
          <w:tcPr>
            <w:tcW w:w="960" w:type="dxa"/>
            <w:tcBorders>
              <w:top w:val="nil"/>
              <w:left w:val="nil"/>
              <w:bottom w:val="nil"/>
              <w:right w:val="nil"/>
            </w:tcBorders>
            <w:noWrap/>
            <w:vAlign w:val="bottom"/>
            <w:hideMark/>
          </w:tcPr>
          <w:p w14:paraId="251C58FA"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48</w:t>
            </w:r>
          </w:p>
        </w:tc>
        <w:tc>
          <w:tcPr>
            <w:tcW w:w="960" w:type="dxa"/>
            <w:tcBorders>
              <w:top w:val="nil"/>
              <w:left w:val="nil"/>
              <w:bottom w:val="nil"/>
              <w:right w:val="nil"/>
            </w:tcBorders>
            <w:noWrap/>
            <w:vAlign w:val="bottom"/>
            <w:hideMark/>
          </w:tcPr>
          <w:p w14:paraId="4B8E3494"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87.50%</w:t>
            </w:r>
          </w:p>
        </w:tc>
        <w:tc>
          <w:tcPr>
            <w:tcW w:w="960" w:type="dxa"/>
            <w:tcBorders>
              <w:top w:val="nil"/>
              <w:left w:val="nil"/>
              <w:bottom w:val="nil"/>
              <w:right w:val="nil"/>
            </w:tcBorders>
            <w:noWrap/>
            <w:vAlign w:val="bottom"/>
            <w:hideMark/>
          </w:tcPr>
          <w:p w14:paraId="2983EFBA"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76%</w:t>
            </w:r>
          </w:p>
        </w:tc>
      </w:tr>
      <w:tr w:rsidR="009D00EE" w:rsidRPr="009D00EE" w14:paraId="528E5582" w14:textId="77777777" w:rsidTr="009D00EE">
        <w:trPr>
          <w:trHeight w:val="300"/>
        </w:trPr>
        <w:tc>
          <w:tcPr>
            <w:tcW w:w="960" w:type="dxa"/>
            <w:tcBorders>
              <w:top w:val="nil"/>
              <w:left w:val="nil"/>
              <w:bottom w:val="nil"/>
              <w:right w:val="nil"/>
            </w:tcBorders>
            <w:noWrap/>
            <w:vAlign w:val="bottom"/>
            <w:hideMark/>
          </w:tcPr>
          <w:p w14:paraId="541FB88F"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24</w:t>
            </w:r>
          </w:p>
        </w:tc>
        <w:tc>
          <w:tcPr>
            <w:tcW w:w="960" w:type="dxa"/>
            <w:tcBorders>
              <w:top w:val="nil"/>
              <w:left w:val="nil"/>
              <w:bottom w:val="nil"/>
              <w:right w:val="nil"/>
            </w:tcBorders>
            <w:noWrap/>
            <w:vAlign w:val="bottom"/>
            <w:hideMark/>
          </w:tcPr>
          <w:p w14:paraId="5FF828C7"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15.0%</w:t>
            </w:r>
          </w:p>
        </w:tc>
        <w:tc>
          <w:tcPr>
            <w:tcW w:w="960" w:type="dxa"/>
            <w:tcBorders>
              <w:top w:val="nil"/>
              <w:left w:val="nil"/>
              <w:bottom w:val="nil"/>
              <w:right w:val="nil"/>
            </w:tcBorders>
            <w:noWrap/>
            <w:vAlign w:val="bottom"/>
            <w:hideMark/>
          </w:tcPr>
          <w:p w14:paraId="4E414A89"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15.0%</w:t>
            </w:r>
          </w:p>
        </w:tc>
        <w:tc>
          <w:tcPr>
            <w:tcW w:w="960" w:type="dxa"/>
            <w:tcBorders>
              <w:top w:val="nil"/>
              <w:left w:val="nil"/>
              <w:bottom w:val="nil"/>
              <w:right w:val="nil"/>
            </w:tcBorders>
            <w:noWrap/>
            <w:vAlign w:val="bottom"/>
            <w:hideMark/>
          </w:tcPr>
          <w:p w14:paraId="39D5475B"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p>
        </w:tc>
        <w:tc>
          <w:tcPr>
            <w:tcW w:w="960" w:type="dxa"/>
            <w:tcBorders>
              <w:top w:val="nil"/>
              <w:left w:val="nil"/>
              <w:bottom w:val="nil"/>
              <w:right w:val="nil"/>
            </w:tcBorders>
            <w:noWrap/>
            <w:vAlign w:val="bottom"/>
            <w:hideMark/>
          </w:tcPr>
          <w:p w14:paraId="461F42E1"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49</w:t>
            </w:r>
          </w:p>
        </w:tc>
        <w:tc>
          <w:tcPr>
            <w:tcW w:w="960" w:type="dxa"/>
            <w:tcBorders>
              <w:top w:val="nil"/>
              <w:left w:val="nil"/>
              <w:bottom w:val="nil"/>
              <w:right w:val="nil"/>
            </w:tcBorders>
            <w:noWrap/>
            <w:vAlign w:val="bottom"/>
            <w:hideMark/>
          </w:tcPr>
          <w:p w14:paraId="38557CE4"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87.50%</w:t>
            </w:r>
          </w:p>
        </w:tc>
        <w:tc>
          <w:tcPr>
            <w:tcW w:w="960" w:type="dxa"/>
            <w:tcBorders>
              <w:top w:val="nil"/>
              <w:left w:val="nil"/>
              <w:bottom w:val="nil"/>
              <w:right w:val="nil"/>
            </w:tcBorders>
            <w:noWrap/>
            <w:vAlign w:val="bottom"/>
            <w:hideMark/>
          </w:tcPr>
          <w:p w14:paraId="42A517C9"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76%</w:t>
            </w:r>
          </w:p>
        </w:tc>
      </w:tr>
      <w:tr w:rsidR="009D00EE" w:rsidRPr="009D00EE" w14:paraId="53C6E156" w14:textId="77777777" w:rsidTr="009D00EE">
        <w:trPr>
          <w:trHeight w:val="300"/>
        </w:trPr>
        <w:tc>
          <w:tcPr>
            <w:tcW w:w="960" w:type="dxa"/>
            <w:tcBorders>
              <w:top w:val="nil"/>
              <w:left w:val="nil"/>
              <w:bottom w:val="nil"/>
              <w:right w:val="nil"/>
            </w:tcBorders>
            <w:noWrap/>
            <w:vAlign w:val="bottom"/>
            <w:hideMark/>
          </w:tcPr>
          <w:p w14:paraId="39732DC0"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25</w:t>
            </w:r>
          </w:p>
        </w:tc>
        <w:tc>
          <w:tcPr>
            <w:tcW w:w="960" w:type="dxa"/>
            <w:tcBorders>
              <w:top w:val="nil"/>
              <w:left w:val="nil"/>
              <w:bottom w:val="nil"/>
              <w:right w:val="nil"/>
            </w:tcBorders>
            <w:noWrap/>
            <w:vAlign w:val="bottom"/>
            <w:hideMark/>
          </w:tcPr>
          <w:p w14:paraId="12AEEA35"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17.5%</w:t>
            </w:r>
          </w:p>
        </w:tc>
        <w:tc>
          <w:tcPr>
            <w:tcW w:w="960" w:type="dxa"/>
            <w:tcBorders>
              <w:top w:val="nil"/>
              <w:left w:val="nil"/>
              <w:bottom w:val="nil"/>
              <w:right w:val="nil"/>
            </w:tcBorders>
            <w:noWrap/>
            <w:vAlign w:val="bottom"/>
            <w:hideMark/>
          </w:tcPr>
          <w:p w14:paraId="5B5BA35B"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17.5%</w:t>
            </w:r>
          </w:p>
        </w:tc>
        <w:tc>
          <w:tcPr>
            <w:tcW w:w="960" w:type="dxa"/>
            <w:tcBorders>
              <w:top w:val="nil"/>
              <w:left w:val="nil"/>
              <w:bottom w:val="nil"/>
              <w:right w:val="nil"/>
            </w:tcBorders>
            <w:noWrap/>
            <w:vAlign w:val="bottom"/>
            <w:hideMark/>
          </w:tcPr>
          <w:p w14:paraId="6596CB6C"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p>
        </w:tc>
        <w:tc>
          <w:tcPr>
            <w:tcW w:w="960" w:type="dxa"/>
            <w:tcBorders>
              <w:top w:val="nil"/>
              <w:left w:val="nil"/>
              <w:bottom w:val="nil"/>
              <w:right w:val="nil"/>
            </w:tcBorders>
            <w:noWrap/>
            <w:vAlign w:val="bottom"/>
            <w:hideMark/>
          </w:tcPr>
          <w:p w14:paraId="6506E79E"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50</w:t>
            </w:r>
          </w:p>
        </w:tc>
        <w:tc>
          <w:tcPr>
            <w:tcW w:w="960" w:type="dxa"/>
            <w:tcBorders>
              <w:top w:val="nil"/>
              <w:left w:val="nil"/>
              <w:bottom w:val="nil"/>
              <w:right w:val="nil"/>
            </w:tcBorders>
            <w:noWrap/>
            <w:vAlign w:val="bottom"/>
            <w:hideMark/>
          </w:tcPr>
          <w:p w14:paraId="54F07C21"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87.50%</w:t>
            </w:r>
          </w:p>
        </w:tc>
        <w:tc>
          <w:tcPr>
            <w:tcW w:w="960" w:type="dxa"/>
            <w:tcBorders>
              <w:top w:val="nil"/>
              <w:left w:val="nil"/>
              <w:bottom w:val="nil"/>
              <w:right w:val="nil"/>
            </w:tcBorders>
            <w:noWrap/>
            <w:vAlign w:val="bottom"/>
            <w:hideMark/>
          </w:tcPr>
          <w:p w14:paraId="28D6CEC3"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76%</w:t>
            </w:r>
          </w:p>
        </w:tc>
      </w:tr>
      <w:tr w:rsidR="009D00EE" w:rsidRPr="009D00EE" w14:paraId="1563F1AB" w14:textId="77777777" w:rsidTr="009D00EE">
        <w:trPr>
          <w:trHeight w:val="300"/>
        </w:trPr>
        <w:tc>
          <w:tcPr>
            <w:tcW w:w="960" w:type="dxa"/>
            <w:tcBorders>
              <w:top w:val="nil"/>
              <w:left w:val="nil"/>
              <w:bottom w:val="nil"/>
              <w:right w:val="nil"/>
            </w:tcBorders>
            <w:noWrap/>
            <w:vAlign w:val="bottom"/>
            <w:hideMark/>
          </w:tcPr>
          <w:p w14:paraId="0FBF798F"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26</w:t>
            </w:r>
          </w:p>
        </w:tc>
        <w:tc>
          <w:tcPr>
            <w:tcW w:w="960" w:type="dxa"/>
            <w:tcBorders>
              <w:top w:val="nil"/>
              <w:left w:val="nil"/>
              <w:bottom w:val="nil"/>
              <w:right w:val="nil"/>
            </w:tcBorders>
            <w:noWrap/>
            <w:vAlign w:val="bottom"/>
            <w:hideMark/>
          </w:tcPr>
          <w:p w14:paraId="3FA72A35"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22.5%</w:t>
            </w:r>
          </w:p>
        </w:tc>
        <w:tc>
          <w:tcPr>
            <w:tcW w:w="960" w:type="dxa"/>
            <w:tcBorders>
              <w:top w:val="nil"/>
              <w:left w:val="nil"/>
              <w:bottom w:val="nil"/>
              <w:right w:val="nil"/>
            </w:tcBorders>
            <w:noWrap/>
            <w:vAlign w:val="bottom"/>
            <w:hideMark/>
          </w:tcPr>
          <w:p w14:paraId="0B0B0322"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22.0%</w:t>
            </w:r>
          </w:p>
        </w:tc>
        <w:tc>
          <w:tcPr>
            <w:tcW w:w="960" w:type="dxa"/>
            <w:tcBorders>
              <w:top w:val="nil"/>
              <w:left w:val="nil"/>
              <w:bottom w:val="nil"/>
              <w:right w:val="nil"/>
            </w:tcBorders>
            <w:noWrap/>
            <w:vAlign w:val="bottom"/>
            <w:hideMark/>
          </w:tcPr>
          <w:p w14:paraId="4083D497"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p>
        </w:tc>
        <w:tc>
          <w:tcPr>
            <w:tcW w:w="960" w:type="dxa"/>
            <w:tcBorders>
              <w:top w:val="nil"/>
              <w:left w:val="nil"/>
              <w:bottom w:val="nil"/>
              <w:right w:val="nil"/>
            </w:tcBorders>
            <w:noWrap/>
            <w:vAlign w:val="bottom"/>
            <w:hideMark/>
          </w:tcPr>
          <w:p w14:paraId="1C7F8943"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51</w:t>
            </w:r>
          </w:p>
        </w:tc>
        <w:tc>
          <w:tcPr>
            <w:tcW w:w="960" w:type="dxa"/>
            <w:tcBorders>
              <w:top w:val="nil"/>
              <w:left w:val="nil"/>
              <w:bottom w:val="nil"/>
              <w:right w:val="nil"/>
            </w:tcBorders>
            <w:noWrap/>
            <w:vAlign w:val="bottom"/>
            <w:hideMark/>
          </w:tcPr>
          <w:p w14:paraId="63C19219"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87.50%</w:t>
            </w:r>
          </w:p>
        </w:tc>
        <w:tc>
          <w:tcPr>
            <w:tcW w:w="960" w:type="dxa"/>
            <w:tcBorders>
              <w:top w:val="nil"/>
              <w:left w:val="nil"/>
              <w:bottom w:val="nil"/>
              <w:right w:val="nil"/>
            </w:tcBorders>
            <w:noWrap/>
            <w:vAlign w:val="bottom"/>
            <w:hideMark/>
          </w:tcPr>
          <w:p w14:paraId="140EC338"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76%</w:t>
            </w:r>
          </w:p>
        </w:tc>
      </w:tr>
      <w:tr w:rsidR="009D00EE" w:rsidRPr="009D00EE" w14:paraId="7B038DB0" w14:textId="77777777" w:rsidTr="009D00EE">
        <w:trPr>
          <w:trHeight w:val="300"/>
        </w:trPr>
        <w:tc>
          <w:tcPr>
            <w:tcW w:w="960" w:type="dxa"/>
            <w:tcBorders>
              <w:top w:val="nil"/>
              <w:left w:val="nil"/>
              <w:bottom w:val="nil"/>
              <w:right w:val="nil"/>
            </w:tcBorders>
            <w:noWrap/>
            <w:vAlign w:val="bottom"/>
            <w:hideMark/>
          </w:tcPr>
          <w:p w14:paraId="363AFB0C"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27</w:t>
            </w:r>
          </w:p>
        </w:tc>
        <w:tc>
          <w:tcPr>
            <w:tcW w:w="960" w:type="dxa"/>
            <w:tcBorders>
              <w:top w:val="nil"/>
              <w:left w:val="nil"/>
              <w:bottom w:val="nil"/>
              <w:right w:val="nil"/>
            </w:tcBorders>
            <w:noWrap/>
            <w:vAlign w:val="bottom"/>
            <w:hideMark/>
          </w:tcPr>
          <w:p w14:paraId="0FBDD19B"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27.5%</w:t>
            </w:r>
          </w:p>
        </w:tc>
        <w:tc>
          <w:tcPr>
            <w:tcW w:w="960" w:type="dxa"/>
            <w:tcBorders>
              <w:top w:val="nil"/>
              <w:left w:val="nil"/>
              <w:bottom w:val="nil"/>
              <w:right w:val="nil"/>
            </w:tcBorders>
            <w:noWrap/>
            <w:vAlign w:val="bottom"/>
            <w:hideMark/>
          </w:tcPr>
          <w:p w14:paraId="001EDD69"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26.5%</w:t>
            </w:r>
          </w:p>
        </w:tc>
        <w:tc>
          <w:tcPr>
            <w:tcW w:w="960" w:type="dxa"/>
            <w:tcBorders>
              <w:top w:val="nil"/>
              <w:left w:val="nil"/>
              <w:bottom w:val="nil"/>
              <w:right w:val="nil"/>
            </w:tcBorders>
            <w:noWrap/>
            <w:vAlign w:val="bottom"/>
            <w:hideMark/>
          </w:tcPr>
          <w:p w14:paraId="3B20BE2A"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p>
        </w:tc>
        <w:tc>
          <w:tcPr>
            <w:tcW w:w="960" w:type="dxa"/>
            <w:tcBorders>
              <w:top w:val="nil"/>
              <w:left w:val="nil"/>
              <w:bottom w:val="nil"/>
              <w:right w:val="nil"/>
            </w:tcBorders>
            <w:noWrap/>
            <w:vAlign w:val="bottom"/>
            <w:hideMark/>
          </w:tcPr>
          <w:p w14:paraId="722C33DD"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52</w:t>
            </w:r>
          </w:p>
        </w:tc>
        <w:tc>
          <w:tcPr>
            <w:tcW w:w="960" w:type="dxa"/>
            <w:tcBorders>
              <w:top w:val="nil"/>
              <w:left w:val="nil"/>
              <w:bottom w:val="nil"/>
              <w:right w:val="nil"/>
            </w:tcBorders>
            <w:noWrap/>
            <w:vAlign w:val="bottom"/>
            <w:hideMark/>
          </w:tcPr>
          <w:p w14:paraId="24CE8F03"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87.50%</w:t>
            </w:r>
          </w:p>
        </w:tc>
        <w:tc>
          <w:tcPr>
            <w:tcW w:w="960" w:type="dxa"/>
            <w:tcBorders>
              <w:top w:val="nil"/>
              <w:left w:val="nil"/>
              <w:bottom w:val="nil"/>
              <w:right w:val="nil"/>
            </w:tcBorders>
            <w:noWrap/>
            <w:vAlign w:val="bottom"/>
            <w:hideMark/>
          </w:tcPr>
          <w:p w14:paraId="235124F5"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76%</w:t>
            </w:r>
          </w:p>
        </w:tc>
      </w:tr>
      <w:tr w:rsidR="009D00EE" w:rsidRPr="009D00EE" w14:paraId="6879F0C3" w14:textId="77777777" w:rsidTr="009D00EE">
        <w:trPr>
          <w:trHeight w:val="300"/>
        </w:trPr>
        <w:tc>
          <w:tcPr>
            <w:tcW w:w="960" w:type="dxa"/>
            <w:tcBorders>
              <w:top w:val="nil"/>
              <w:left w:val="nil"/>
              <w:bottom w:val="nil"/>
              <w:right w:val="nil"/>
            </w:tcBorders>
            <w:noWrap/>
            <w:vAlign w:val="bottom"/>
            <w:hideMark/>
          </w:tcPr>
          <w:p w14:paraId="525F8C1A"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28</w:t>
            </w:r>
          </w:p>
        </w:tc>
        <w:tc>
          <w:tcPr>
            <w:tcW w:w="960" w:type="dxa"/>
            <w:tcBorders>
              <w:top w:val="nil"/>
              <w:left w:val="nil"/>
              <w:bottom w:val="nil"/>
              <w:right w:val="nil"/>
            </w:tcBorders>
            <w:noWrap/>
            <w:vAlign w:val="bottom"/>
            <w:hideMark/>
          </w:tcPr>
          <w:p w14:paraId="368EA254"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32.5%</w:t>
            </w:r>
          </w:p>
        </w:tc>
        <w:tc>
          <w:tcPr>
            <w:tcW w:w="960" w:type="dxa"/>
            <w:tcBorders>
              <w:top w:val="nil"/>
              <w:left w:val="nil"/>
              <w:bottom w:val="nil"/>
              <w:right w:val="nil"/>
            </w:tcBorders>
            <w:noWrap/>
            <w:vAlign w:val="bottom"/>
            <w:hideMark/>
          </w:tcPr>
          <w:p w14:paraId="18F6450A"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31.0%</w:t>
            </w:r>
          </w:p>
        </w:tc>
        <w:tc>
          <w:tcPr>
            <w:tcW w:w="960" w:type="dxa"/>
            <w:tcBorders>
              <w:top w:val="nil"/>
              <w:left w:val="nil"/>
              <w:bottom w:val="nil"/>
              <w:right w:val="nil"/>
            </w:tcBorders>
            <w:noWrap/>
            <w:vAlign w:val="bottom"/>
            <w:hideMark/>
          </w:tcPr>
          <w:p w14:paraId="3AC33FEA"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p>
        </w:tc>
        <w:tc>
          <w:tcPr>
            <w:tcW w:w="960" w:type="dxa"/>
            <w:tcBorders>
              <w:top w:val="nil"/>
              <w:left w:val="nil"/>
              <w:bottom w:val="nil"/>
              <w:right w:val="nil"/>
            </w:tcBorders>
            <w:noWrap/>
            <w:vAlign w:val="bottom"/>
            <w:hideMark/>
          </w:tcPr>
          <w:p w14:paraId="6F77BF15"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53</w:t>
            </w:r>
          </w:p>
        </w:tc>
        <w:tc>
          <w:tcPr>
            <w:tcW w:w="960" w:type="dxa"/>
            <w:tcBorders>
              <w:top w:val="nil"/>
              <w:left w:val="nil"/>
              <w:bottom w:val="nil"/>
              <w:right w:val="nil"/>
            </w:tcBorders>
            <w:noWrap/>
            <w:vAlign w:val="bottom"/>
            <w:hideMark/>
          </w:tcPr>
          <w:p w14:paraId="5FEA88FB"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87.50%</w:t>
            </w:r>
          </w:p>
        </w:tc>
        <w:tc>
          <w:tcPr>
            <w:tcW w:w="960" w:type="dxa"/>
            <w:tcBorders>
              <w:top w:val="nil"/>
              <w:left w:val="nil"/>
              <w:bottom w:val="nil"/>
              <w:right w:val="nil"/>
            </w:tcBorders>
            <w:noWrap/>
            <w:vAlign w:val="bottom"/>
            <w:hideMark/>
          </w:tcPr>
          <w:p w14:paraId="4395E4DE"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76%</w:t>
            </w:r>
          </w:p>
        </w:tc>
      </w:tr>
      <w:tr w:rsidR="009D00EE" w:rsidRPr="009D00EE" w14:paraId="477217C3" w14:textId="77777777" w:rsidTr="009D00EE">
        <w:trPr>
          <w:trHeight w:val="300"/>
        </w:trPr>
        <w:tc>
          <w:tcPr>
            <w:tcW w:w="960" w:type="dxa"/>
            <w:tcBorders>
              <w:top w:val="nil"/>
              <w:left w:val="nil"/>
              <w:bottom w:val="nil"/>
              <w:right w:val="nil"/>
            </w:tcBorders>
            <w:noWrap/>
            <w:vAlign w:val="bottom"/>
            <w:hideMark/>
          </w:tcPr>
          <w:p w14:paraId="29165A0F"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29</w:t>
            </w:r>
          </w:p>
        </w:tc>
        <w:tc>
          <w:tcPr>
            <w:tcW w:w="960" w:type="dxa"/>
            <w:tcBorders>
              <w:top w:val="nil"/>
              <w:left w:val="nil"/>
              <w:bottom w:val="nil"/>
              <w:right w:val="nil"/>
            </w:tcBorders>
            <w:noWrap/>
            <w:vAlign w:val="bottom"/>
            <w:hideMark/>
          </w:tcPr>
          <w:p w14:paraId="5989B688"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37.5%</w:t>
            </w:r>
          </w:p>
        </w:tc>
        <w:tc>
          <w:tcPr>
            <w:tcW w:w="960" w:type="dxa"/>
            <w:tcBorders>
              <w:top w:val="nil"/>
              <w:left w:val="nil"/>
              <w:bottom w:val="nil"/>
              <w:right w:val="nil"/>
            </w:tcBorders>
            <w:noWrap/>
            <w:vAlign w:val="bottom"/>
            <w:hideMark/>
          </w:tcPr>
          <w:p w14:paraId="132C6B62"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35.5%</w:t>
            </w:r>
          </w:p>
        </w:tc>
        <w:tc>
          <w:tcPr>
            <w:tcW w:w="960" w:type="dxa"/>
            <w:tcBorders>
              <w:top w:val="nil"/>
              <w:left w:val="nil"/>
              <w:bottom w:val="nil"/>
              <w:right w:val="nil"/>
            </w:tcBorders>
            <w:noWrap/>
            <w:vAlign w:val="bottom"/>
            <w:hideMark/>
          </w:tcPr>
          <w:p w14:paraId="2A203843"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p>
        </w:tc>
        <w:tc>
          <w:tcPr>
            <w:tcW w:w="960" w:type="dxa"/>
            <w:tcBorders>
              <w:top w:val="nil"/>
              <w:left w:val="nil"/>
              <w:bottom w:val="nil"/>
              <w:right w:val="nil"/>
            </w:tcBorders>
            <w:noWrap/>
            <w:vAlign w:val="bottom"/>
            <w:hideMark/>
          </w:tcPr>
          <w:p w14:paraId="311B3BE1"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54</w:t>
            </w:r>
          </w:p>
        </w:tc>
        <w:tc>
          <w:tcPr>
            <w:tcW w:w="960" w:type="dxa"/>
            <w:tcBorders>
              <w:top w:val="nil"/>
              <w:left w:val="nil"/>
              <w:bottom w:val="nil"/>
              <w:right w:val="nil"/>
            </w:tcBorders>
            <w:noWrap/>
            <w:vAlign w:val="bottom"/>
            <w:hideMark/>
          </w:tcPr>
          <w:p w14:paraId="7CD502E6"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87.50%</w:t>
            </w:r>
          </w:p>
        </w:tc>
        <w:tc>
          <w:tcPr>
            <w:tcW w:w="960" w:type="dxa"/>
            <w:tcBorders>
              <w:top w:val="nil"/>
              <w:left w:val="nil"/>
              <w:bottom w:val="nil"/>
              <w:right w:val="nil"/>
            </w:tcBorders>
            <w:noWrap/>
            <w:vAlign w:val="bottom"/>
            <w:hideMark/>
          </w:tcPr>
          <w:p w14:paraId="12DD1B6E"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76%</w:t>
            </w:r>
          </w:p>
        </w:tc>
      </w:tr>
      <w:tr w:rsidR="009D00EE" w:rsidRPr="009D00EE" w14:paraId="0367F370" w14:textId="77777777" w:rsidTr="009D00EE">
        <w:trPr>
          <w:trHeight w:val="300"/>
        </w:trPr>
        <w:tc>
          <w:tcPr>
            <w:tcW w:w="960" w:type="dxa"/>
            <w:tcBorders>
              <w:top w:val="nil"/>
              <w:left w:val="nil"/>
              <w:bottom w:val="nil"/>
              <w:right w:val="nil"/>
            </w:tcBorders>
            <w:noWrap/>
            <w:vAlign w:val="bottom"/>
            <w:hideMark/>
          </w:tcPr>
          <w:p w14:paraId="7F0674A5"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30</w:t>
            </w:r>
          </w:p>
        </w:tc>
        <w:tc>
          <w:tcPr>
            <w:tcW w:w="960" w:type="dxa"/>
            <w:tcBorders>
              <w:top w:val="nil"/>
              <w:left w:val="nil"/>
              <w:bottom w:val="nil"/>
              <w:right w:val="nil"/>
            </w:tcBorders>
            <w:noWrap/>
            <w:vAlign w:val="bottom"/>
            <w:hideMark/>
          </w:tcPr>
          <w:p w14:paraId="35B5D1DB"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42.5%</w:t>
            </w:r>
          </w:p>
        </w:tc>
        <w:tc>
          <w:tcPr>
            <w:tcW w:w="960" w:type="dxa"/>
            <w:tcBorders>
              <w:top w:val="nil"/>
              <w:left w:val="nil"/>
              <w:bottom w:val="nil"/>
              <w:right w:val="nil"/>
            </w:tcBorders>
            <w:noWrap/>
            <w:vAlign w:val="bottom"/>
            <w:hideMark/>
          </w:tcPr>
          <w:p w14:paraId="1B409866"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40.0%</w:t>
            </w:r>
          </w:p>
        </w:tc>
        <w:tc>
          <w:tcPr>
            <w:tcW w:w="960" w:type="dxa"/>
            <w:tcBorders>
              <w:top w:val="nil"/>
              <w:left w:val="nil"/>
              <w:bottom w:val="nil"/>
              <w:right w:val="nil"/>
            </w:tcBorders>
            <w:noWrap/>
            <w:vAlign w:val="bottom"/>
            <w:hideMark/>
          </w:tcPr>
          <w:p w14:paraId="182352BB"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p>
        </w:tc>
        <w:tc>
          <w:tcPr>
            <w:tcW w:w="960" w:type="dxa"/>
            <w:tcBorders>
              <w:top w:val="nil"/>
              <w:left w:val="nil"/>
              <w:bottom w:val="nil"/>
              <w:right w:val="nil"/>
            </w:tcBorders>
            <w:noWrap/>
            <w:vAlign w:val="bottom"/>
            <w:hideMark/>
          </w:tcPr>
          <w:p w14:paraId="1E2982F6"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55</w:t>
            </w:r>
          </w:p>
        </w:tc>
        <w:tc>
          <w:tcPr>
            <w:tcW w:w="960" w:type="dxa"/>
            <w:tcBorders>
              <w:top w:val="nil"/>
              <w:left w:val="nil"/>
              <w:bottom w:val="nil"/>
              <w:right w:val="nil"/>
            </w:tcBorders>
            <w:noWrap/>
            <w:vAlign w:val="bottom"/>
            <w:hideMark/>
          </w:tcPr>
          <w:p w14:paraId="3991E598"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87.50%</w:t>
            </w:r>
          </w:p>
        </w:tc>
        <w:tc>
          <w:tcPr>
            <w:tcW w:w="960" w:type="dxa"/>
            <w:tcBorders>
              <w:top w:val="nil"/>
              <w:left w:val="nil"/>
              <w:bottom w:val="nil"/>
              <w:right w:val="nil"/>
            </w:tcBorders>
            <w:noWrap/>
            <w:vAlign w:val="bottom"/>
            <w:hideMark/>
          </w:tcPr>
          <w:p w14:paraId="2D21C3F9"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76%</w:t>
            </w:r>
          </w:p>
        </w:tc>
      </w:tr>
      <w:tr w:rsidR="009D00EE" w:rsidRPr="009D00EE" w14:paraId="5FD5A49F" w14:textId="77777777" w:rsidTr="009D00EE">
        <w:trPr>
          <w:trHeight w:val="300"/>
        </w:trPr>
        <w:tc>
          <w:tcPr>
            <w:tcW w:w="960" w:type="dxa"/>
            <w:tcBorders>
              <w:top w:val="nil"/>
              <w:left w:val="nil"/>
              <w:bottom w:val="nil"/>
              <w:right w:val="nil"/>
            </w:tcBorders>
            <w:noWrap/>
            <w:vAlign w:val="bottom"/>
            <w:hideMark/>
          </w:tcPr>
          <w:p w14:paraId="45F2CA35"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31</w:t>
            </w:r>
          </w:p>
        </w:tc>
        <w:tc>
          <w:tcPr>
            <w:tcW w:w="960" w:type="dxa"/>
            <w:tcBorders>
              <w:top w:val="nil"/>
              <w:left w:val="nil"/>
              <w:bottom w:val="nil"/>
              <w:right w:val="nil"/>
            </w:tcBorders>
            <w:noWrap/>
            <w:vAlign w:val="bottom"/>
            <w:hideMark/>
          </w:tcPr>
          <w:p w14:paraId="0E4427C7"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47.5%</w:t>
            </w:r>
          </w:p>
        </w:tc>
        <w:tc>
          <w:tcPr>
            <w:tcW w:w="960" w:type="dxa"/>
            <w:tcBorders>
              <w:top w:val="nil"/>
              <w:left w:val="nil"/>
              <w:bottom w:val="nil"/>
              <w:right w:val="nil"/>
            </w:tcBorders>
            <w:noWrap/>
            <w:vAlign w:val="bottom"/>
            <w:hideMark/>
          </w:tcPr>
          <w:p w14:paraId="67B6AC92"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44.5%</w:t>
            </w:r>
          </w:p>
        </w:tc>
        <w:tc>
          <w:tcPr>
            <w:tcW w:w="960" w:type="dxa"/>
            <w:tcBorders>
              <w:top w:val="nil"/>
              <w:left w:val="nil"/>
              <w:bottom w:val="nil"/>
              <w:right w:val="nil"/>
            </w:tcBorders>
            <w:noWrap/>
            <w:vAlign w:val="bottom"/>
            <w:hideMark/>
          </w:tcPr>
          <w:p w14:paraId="66074E7A"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p>
        </w:tc>
        <w:tc>
          <w:tcPr>
            <w:tcW w:w="960" w:type="dxa"/>
            <w:tcBorders>
              <w:top w:val="nil"/>
              <w:left w:val="nil"/>
              <w:bottom w:val="nil"/>
              <w:right w:val="nil"/>
            </w:tcBorders>
            <w:noWrap/>
            <w:vAlign w:val="bottom"/>
            <w:hideMark/>
          </w:tcPr>
          <w:p w14:paraId="415A9EAC"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56</w:t>
            </w:r>
          </w:p>
        </w:tc>
        <w:tc>
          <w:tcPr>
            <w:tcW w:w="960" w:type="dxa"/>
            <w:tcBorders>
              <w:top w:val="nil"/>
              <w:left w:val="nil"/>
              <w:bottom w:val="nil"/>
              <w:right w:val="nil"/>
            </w:tcBorders>
            <w:noWrap/>
            <w:vAlign w:val="bottom"/>
            <w:hideMark/>
          </w:tcPr>
          <w:p w14:paraId="4C860C18"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87.50%</w:t>
            </w:r>
          </w:p>
        </w:tc>
        <w:tc>
          <w:tcPr>
            <w:tcW w:w="960" w:type="dxa"/>
            <w:tcBorders>
              <w:top w:val="nil"/>
              <w:left w:val="nil"/>
              <w:bottom w:val="nil"/>
              <w:right w:val="nil"/>
            </w:tcBorders>
            <w:noWrap/>
            <w:vAlign w:val="bottom"/>
            <w:hideMark/>
          </w:tcPr>
          <w:p w14:paraId="4D8AC5DE"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76%</w:t>
            </w:r>
          </w:p>
        </w:tc>
      </w:tr>
      <w:tr w:rsidR="009D00EE" w:rsidRPr="009D00EE" w14:paraId="469CDB3E" w14:textId="77777777" w:rsidTr="009D00EE">
        <w:trPr>
          <w:trHeight w:val="300"/>
        </w:trPr>
        <w:tc>
          <w:tcPr>
            <w:tcW w:w="960" w:type="dxa"/>
            <w:tcBorders>
              <w:top w:val="nil"/>
              <w:left w:val="nil"/>
              <w:bottom w:val="nil"/>
              <w:right w:val="nil"/>
            </w:tcBorders>
            <w:noWrap/>
            <w:vAlign w:val="bottom"/>
            <w:hideMark/>
          </w:tcPr>
          <w:p w14:paraId="221952D6"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32</w:t>
            </w:r>
          </w:p>
        </w:tc>
        <w:tc>
          <w:tcPr>
            <w:tcW w:w="960" w:type="dxa"/>
            <w:tcBorders>
              <w:top w:val="nil"/>
              <w:left w:val="nil"/>
              <w:bottom w:val="nil"/>
              <w:right w:val="nil"/>
            </w:tcBorders>
            <w:noWrap/>
            <w:vAlign w:val="bottom"/>
            <w:hideMark/>
          </w:tcPr>
          <w:p w14:paraId="408BA4DF"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52.5%</w:t>
            </w:r>
          </w:p>
        </w:tc>
        <w:tc>
          <w:tcPr>
            <w:tcW w:w="960" w:type="dxa"/>
            <w:tcBorders>
              <w:top w:val="nil"/>
              <w:left w:val="nil"/>
              <w:bottom w:val="nil"/>
              <w:right w:val="nil"/>
            </w:tcBorders>
            <w:noWrap/>
            <w:vAlign w:val="bottom"/>
            <w:hideMark/>
          </w:tcPr>
          <w:p w14:paraId="4840E3A4"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49.0%</w:t>
            </w:r>
          </w:p>
        </w:tc>
        <w:tc>
          <w:tcPr>
            <w:tcW w:w="960" w:type="dxa"/>
            <w:tcBorders>
              <w:top w:val="nil"/>
              <w:left w:val="nil"/>
              <w:bottom w:val="nil"/>
              <w:right w:val="nil"/>
            </w:tcBorders>
            <w:noWrap/>
            <w:vAlign w:val="bottom"/>
            <w:hideMark/>
          </w:tcPr>
          <w:p w14:paraId="7C69E23E"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p>
        </w:tc>
        <w:tc>
          <w:tcPr>
            <w:tcW w:w="960" w:type="dxa"/>
            <w:tcBorders>
              <w:top w:val="nil"/>
              <w:left w:val="nil"/>
              <w:bottom w:val="nil"/>
              <w:right w:val="nil"/>
            </w:tcBorders>
            <w:noWrap/>
            <w:vAlign w:val="bottom"/>
            <w:hideMark/>
          </w:tcPr>
          <w:p w14:paraId="0519524C"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57</w:t>
            </w:r>
          </w:p>
        </w:tc>
        <w:tc>
          <w:tcPr>
            <w:tcW w:w="960" w:type="dxa"/>
            <w:tcBorders>
              <w:top w:val="nil"/>
              <w:left w:val="nil"/>
              <w:bottom w:val="nil"/>
              <w:right w:val="nil"/>
            </w:tcBorders>
            <w:noWrap/>
            <w:vAlign w:val="bottom"/>
            <w:hideMark/>
          </w:tcPr>
          <w:p w14:paraId="3776E522"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87.50%</w:t>
            </w:r>
          </w:p>
        </w:tc>
        <w:tc>
          <w:tcPr>
            <w:tcW w:w="960" w:type="dxa"/>
            <w:tcBorders>
              <w:top w:val="nil"/>
              <w:left w:val="nil"/>
              <w:bottom w:val="nil"/>
              <w:right w:val="nil"/>
            </w:tcBorders>
            <w:noWrap/>
            <w:vAlign w:val="bottom"/>
            <w:hideMark/>
          </w:tcPr>
          <w:p w14:paraId="674113AE"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76%</w:t>
            </w:r>
          </w:p>
        </w:tc>
      </w:tr>
      <w:tr w:rsidR="009D00EE" w:rsidRPr="009D00EE" w14:paraId="17F52511" w14:textId="77777777" w:rsidTr="009D00EE">
        <w:trPr>
          <w:trHeight w:val="300"/>
        </w:trPr>
        <w:tc>
          <w:tcPr>
            <w:tcW w:w="960" w:type="dxa"/>
            <w:tcBorders>
              <w:top w:val="nil"/>
              <w:left w:val="nil"/>
              <w:bottom w:val="nil"/>
              <w:right w:val="nil"/>
            </w:tcBorders>
            <w:noWrap/>
            <w:vAlign w:val="bottom"/>
            <w:hideMark/>
          </w:tcPr>
          <w:p w14:paraId="0A93BBFC"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33</w:t>
            </w:r>
          </w:p>
        </w:tc>
        <w:tc>
          <w:tcPr>
            <w:tcW w:w="960" w:type="dxa"/>
            <w:tcBorders>
              <w:top w:val="nil"/>
              <w:left w:val="nil"/>
              <w:bottom w:val="nil"/>
              <w:right w:val="nil"/>
            </w:tcBorders>
            <w:noWrap/>
            <w:vAlign w:val="bottom"/>
            <w:hideMark/>
          </w:tcPr>
          <w:p w14:paraId="609F5995"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57.5%</w:t>
            </w:r>
          </w:p>
        </w:tc>
        <w:tc>
          <w:tcPr>
            <w:tcW w:w="960" w:type="dxa"/>
            <w:tcBorders>
              <w:top w:val="nil"/>
              <w:left w:val="nil"/>
              <w:bottom w:val="nil"/>
              <w:right w:val="nil"/>
            </w:tcBorders>
            <w:noWrap/>
            <w:vAlign w:val="bottom"/>
            <w:hideMark/>
          </w:tcPr>
          <w:p w14:paraId="5C3C9B51"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53.5%</w:t>
            </w:r>
          </w:p>
        </w:tc>
        <w:tc>
          <w:tcPr>
            <w:tcW w:w="960" w:type="dxa"/>
            <w:tcBorders>
              <w:top w:val="nil"/>
              <w:left w:val="nil"/>
              <w:bottom w:val="nil"/>
              <w:right w:val="nil"/>
            </w:tcBorders>
            <w:noWrap/>
            <w:vAlign w:val="bottom"/>
            <w:hideMark/>
          </w:tcPr>
          <w:p w14:paraId="1C1F6BBD"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p>
        </w:tc>
        <w:tc>
          <w:tcPr>
            <w:tcW w:w="960" w:type="dxa"/>
            <w:tcBorders>
              <w:top w:val="nil"/>
              <w:left w:val="nil"/>
              <w:bottom w:val="nil"/>
              <w:right w:val="nil"/>
            </w:tcBorders>
            <w:noWrap/>
            <w:vAlign w:val="bottom"/>
            <w:hideMark/>
          </w:tcPr>
          <w:p w14:paraId="7C74E80E"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58</w:t>
            </w:r>
          </w:p>
        </w:tc>
        <w:tc>
          <w:tcPr>
            <w:tcW w:w="960" w:type="dxa"/>
            <w:tcBorders>
              <w:top w:val="nil"/>
              <w:left w:val="nil"/>
              <w:bottom w:val="nil"/>
              <w:right w:val="nil"/>
            </w:tcBorders>
            <w:noWrap/>
            <w:vAlign w:val="bottom"/>
            <w:hideMark/>
          </w:tcPr>
          <w:p w14:paraId="2BF75C58"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87.50%</w:t>
            </w:r>
          </w:p>
        </w:tc>
        <w:tc>
          <w:tcPr>
            <w:tcW w:w="960" w:type="dxa"/>
            <w:tcBorders>
              <w:top w:val="nil"/>
              <w:left w:val="nil"/>
              <w:bottom w:val="nil"/>
              <w:right w:val="nil"/>
            </w:tcBorders>
            <w:noWrap/>
            <w:vAlign w:val="bottom"/>
            <w:hideMark/>
          </w:tcPr>
          <w:p w14:paraId="4B9E6E2A"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76%</w:t>
            </w:r>
          </w:p>
        </w:tc>
      </w:tr>
      <w:tr w:rsidR="009D00EE" w:rsidRPr="009D00EE" w14:paraId="690809FF" w14:textId="77777777" w:rsidTr="009D00EE">
        <w:trPr>
          <w:trHeight w:val="300"/>
        </w:trPr>
        <w:tc>
          <w:tcPr>
            <w:tcW w:w="960" w:type="dxa"/>
            <w:tcBorders>
              <w:top w:val="nil"/>
              <w:left w:val="nil"/>
              <w:bottom w:val="nil"/>
              <w:right w:val="nil"/>
            </w:tcBorders>
            <w:noWrap/>
            <w:vAlign w:val="bottom"/>
            <w:hideMark/>
          </w:tcPr>
          <w:p w14:paraId="329BAE8E"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34</w:t>
            </w:r>
          </w:p>
        </w:tc>
        <w:tc>
          <w:tcPr>
            <w:tcW w:w="960" w:type="dxa"/>
            <w:tcBorders>
              <w:top w:val="nil"/>
              <w:left w:val="nil"/>
              <w:bottom w:val="nil"/>
              <w:right w:val="nil"/>
            </w:tcBorders>
            <w:noWrap/>
            <w:vAlign w:val="bottom"/>
            <w:hideMark/>
          </w:tcPr>
          <w:p w14:paraId="19844BF7"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62.5%</w:t>
            </w:r>
          </w:p>
        </w:tc>
        <w:tc>
          <w:tcPr>
            <w:tcW w:w="960" w:type="dxa"/>
            <w:tcBorders>
              <w:top w:val="nil"/>
              <w:left w:val="nil"/>
              <w:bottom w:val="nil"/>
              <w:right w:val="nil"/>
            </w:tcBorders>
            <w:noWrap/>
            <w:vAlign w:val="bottom"/>
            <w:hideMark/>
          </w:tcPr>
          <w:p w14:paraId="0362F60F"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58.0%</w:t>
            </w:r>
          </w:p>
        </w:tc>
        <w:tc>
          <w:tcPr>
            <w:tcW w:w="960" w:type="dxa"/>
            <w:tcBorders>
              <w:top w:val="nil"/>
              <w:left w:val="nil"/>
              <w:bottom w:val="nil"/>
              <w:right w:val="nil"/>
            </w:tcBorders>
            <w:noWrap/>
            <w:vAlign w:val="bottom"/>
            <w:hideMark/>
          </w:tcPr>
          <w:p w14:paraId="06866130"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p>
        </w:tc>
        <w:tc>
          <w:tcPr>
            <w:tcW w:w="960" w:type="dxa"/>
            <w:tcBorders>
              <w:top w:val="nil"/>
              <w:left w:val="nil"/>
              <w:bottom w:val="nil"/>
              <w:right w:val="nil"/>
            </w:tcBorders>
            <w:noWrap/>
            <w:vAlign w:val="bottom"/>
            <w:hideMark/>
          </w:tcPr>
          <w:p w14:paraId="6C4B29B4"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59</w:t>
            </w:r>
          </w:p>
        </w:tc>
        <w:tc>
          <w:tcPr>
            <w:tcW w:w="960" w:type="dxa"/>
            <w:tcBorders>
              <w:top w:val="nil"/>
              <w:left w:val="nil"/>
              <w:bottom w:val="nil"/>
              <w:right w:val="nil"/>
            </w:tcBorders>
            <w:noWrap/>
            <w:vAlign w:val="bottom"/>
            <w:hideMark/>
          </w:tcPr>
          <w:p w14:paraId="1A8BD23B"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87.50%</w:t>
            </w:r>
          </w:p>
        </w:tc>
        <w:tc>
          <w:tcPr>
            <w:tcW w:w="960" w:type="dxa"/>
            <w:tcBorders>
              <w:top w:val="nil"/>
              <w:left w:val="nil"/>
              <w:bottom w:val="nil"/>
              <w:right w:val="nil"/>
            </w:tcBorders>
            <w:noWrap/>
            <w:vAlign w:val="bottom"/>
            <w:hideMark/>
          </w:tcPr>
          <w:p w14:paraId="010CF462"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76%</w:t>
            </w:r>
          </w:p>
        </w:tc>
      </w:tr>
      <w:tr w:rsidR="009D00EE" w:rsidRPr="009D00EE" w14:paraId="31F834A8" w14:textId="77777777" w:rsidTr="009D00EE">
        <w:trPr>
          <w:trHeight w:val="300"/>
        </w:trPr>
        <w:tc>
          <w:tcPr>
            <w:tcW w:w="960" w:type="dxa"/>
            <w:tcBorders>
              <w:top w:val="nil"/>
              <w:left w:val="nil"/>
              <w:bottom w:val="nil"/>
              <w:right w:val="nil"/>
            </w:tcBorders>
            <w:noWrap/>
            <w:vAlign w:val="bottom"/>
            <w:hideMark/>
          </w:tcPr>
          <w:p w14:paraId="747476E4"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35</w:t>
            </w:r>
          </w:p>
        </w:tc>
        <w:tc>
          <w:tcPr>
            <w:tcW w:w="960" w:type="dxa"/>
            <w:tcBorders>
              <w:top w:val="nil"/>
              <w:left w:val="nil"/>
              <w:bottom w:val="nil"/>
              <w:right w:val="nil"/>
            </w:tcBorders>
            <w:noWrap/>
            <w:vAlign w:val="bottom"/>
            <w:hideMark/>
          </w:tcPr>
          <w:p w14:paraId="33020CC7"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67.5%</w:t>
            </w:r>
          </w:p>
        </w:tc>
        <w:tc>
          <w:tcPr>
            <w:tcW w:w="960" w:type="dxa"/>
            <w:tcBorders>
              <w:top w:val="nil"/>
              <w:left w:val="nil"/>
              <w:bottom w:val="nil"/>
              <w:right w:val="nil"/>
            </w:tcBorders>
            <w:noWrap/>
            <w:vAlign w:val="bottom"/>
            <w:hideMark/>
          </w:tcPr>
          <w:p w14:paraId="70B1032F"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62.5%</w:t>
            </w:r>
          </w:p>
        </w:tc>
        <w:tc>
          <w:tcPr>
            <w:tcW w:w="960" w:type="dxa"/>
            <w:tcBorders>
              <w:top w:val="nil"/>
              <w:left w:val="nil"/>
              <w:bottom w:val="nil"/>
              <w:right w:val="nil"/>
            </w:tcBorders>
            <w:noWrap/>
            <w:vAlign w:val="bottom"/>
            <w:hideMark/>
          </w:tcPr>
          <w:p w14:paraId="51D41A8F"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p>
        </w:tc>
        <w:tc>
          <w:tcPr>
            <w:tcW w:w="960" w:type="dxa"/>
            <w:tcBorders>
              <w:top w:val="nil"/>
              <w:left w:val="nil"/>
              <w:bottom w:val="nil"/>
              <w:right w:val="nil"/>
            </w:tcBorders>
            <w:noWrap/>
            <w:vAlign w:val="bottom"/>
            <w:hideMark/>
          </w:tcPr>
          <w:p w14:paraId="510BBCC9"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60</w:t>
            </w:r>
          </w:p>
        </w:tc>
        <w:tc>
          <w:tcPr>
            <w:tcW w:w="960" w:type="dxa"/>
            <w:tcBorders>
              <w:top w:val="nil"/>
              <w:left w:val="nil"/>
              <w:bottom w:val="nil"/>
              <w:right w:val="nil"/>
            </w:tcBorders>
            <w:noWrap/>
            <w:vAlign w:val="bottom"/>
            <w:hideMark/>
          </w:tcPr>
          <w:p w14:paraId="4A5646E2"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87.50%</w:t>
            </w:r>
          </w:p>
        </w:tc>
        <w:tc>
          <w:tcPr>
            <w:tcW w:w="960" w:type="dxa"/>
            <w:tcBorders>
              <w:top w:val="nil"/>
              <w:left w:val="nil"/>
              <w:bottom w:val="nil"/>
              <w:right w:val="nil"/>
            </w:tcBorders>
            <w:noWrap/>
            <w:vAlign w:val="bottom"/>
            <w:hideMark/>
          </w:tcPr>
          <w:p w14:paraId="6AEA1A1A"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76%</w:t>
            </w:r>
          </w:p>
        </w:tc>
      </w:tr>
      <w:tr w:rsidR="009D00EE" w:rsidRPr="009D00EE" w14:paraId="066CC03E" w14:textId="77777777" w:rsidTr="009D00EE">
        <w:trPr>
          <w:trHeight w:val="300"/>
        </w:trPr>
        <w:tc>
          <w:tcPr>
            <w:tcW w:w="960" w:type="dxa"/>
            <w:tcBorders>
              <w:top w:val="nil"/>
              <w:left w:val="nil"/>
              <w:bottom w:val="nil"/>
              <w:right w:val="nil"/>
            </w:tcBorders>
            <w:noWrap/>
            <w:vAlign w:val="bottom"/>
            <w:hideMark/>
          </w:tcPr>
          <w:p w14:paraId="1A08E960"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36</w:t>
            </w:r>
          </w:p>
        </w:tc>
        <w:tc>
          <w:tcPr>
            <w:tcW w:w="960" w:type="dxa"/>
            <w:tcBorders>
              <w:top w:val="nil"/>
              <w:left w:val="nil"/>
              <w:bottom w:val="nil"/>
              <w:right w:val="nil"/>
            </w:tcBorders>
            <w:noWrap/>
            <w:vAlign w:val="bottom"/>
            <w:hideMark/>
          </w:tcPr>
          <w:p w14:paraId="62EDC145"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72.5%</w:t>
            </w:r>
          </w:p>
        </w:tc>
        <w:tc>
          <w:tcPr>
            <w:tcW w:w="960" w:type="dxa"/>
            <w:tcBorders>
              <w:top w:val="nil"/>
              <w:left w:val="nil"/>
              <w:bottom w:val="nil"/>
              <w:right w:val="nil"/>
            </w:tcBorders>
            <w:noWrap/>
            <w:vAlign w:val="bottom"/>
            <w:hideMark/>
          </w:tcPr>
          <w:p w14:paraId="561C5326"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67.0%</w:t>
            </w:r>
          </w:p>
        </w:tc>
        <w:tc>
          <w:tcPr>
            <w:tcW w:w="960" w:type="dxa"/>
            <w:tcBorders>
              <w:top w:val="nil"/>
              <w:left w:val="nil"/>
              <w:bottom w:val="nil"/>
              <w:right w:val="nil"/>
            </w:tcBorders>
            <w:noWrap/>
            <w:vAlign w:val="bottom"/>
            <w:hideMark/>
          </w:tcPr>
          <w:p w14:paraId="17AEC5E7"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p>
        </w:tc>
        <w:tc>
          <w:tcPr>
            <w:tcW w:w="960" w:type="dxa"/>
            <w:tcBorders>
              <w:top w:val="nil"/>
              <w:left w:val="nil"/>
              <w:bottom w:val="nil"/>
              <w:right w:val="nil"/>
            </w:tcBorders>
            <w:noWrap/>
            <w:vAlign w:val="bottom"/>
            <w:hideMark/>
          </w:tcPr>
          <w:p w14:paraId="26EAF461"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61</w:t>
            </w:r>
          </w:p>
        </w:tc>
        <w:tc>
          <w:tcPr>
            <w:tcW w:w="960" w:type="dxa"/>
            <w:tcBorders>
              <w:top w:val="nil"/>
              <w:left w:val="nil"/>
              <w:bottom w:val="nil"/>
              <w:right w:val="nil"/>
            </w:tcBorders>
            <w:noWrap/>
            <w:vAlign w:val="bottom"/>
            <w:hideMark/>
          </w:tcPr>
          <w:p w14:paraId="1EADEF54"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87.50%</w:t>
            </w:r>
          </w:p>
        </w:tc>
        <w:tc>
          <w:tcPr>
            <w:tcW w:w="960" w:type="dxa"/>
            <w:tcBorders>
              <w:top w:val="nil"/>
              <w:left w:val="nil"/>
              <w:bottom w:val="nil"/>
              <w:right w:val="nil"/>
            </w:tcBorders>
            <w:noWrap/>
            <w:vAlign w:val="bottom"/>
            <w:hideMark/>
          </w:tcPr>
          <w:p w14:paraId="11C324F0"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76%</w:t>
            </w:r>
          </w:p>
        </w:tc>
      </w:tr>
      <w:tr w:rsidR="009D00EE" w:rsidRPr="009D00EE" w14:paraId="1806F718" w14:textId="77777777" w:rsidTr="009D00EE">
        <w:trPr>
          <w:trHeight w:val="300"/>
        </w:trPr>
        <w:tc>
          <w:tcPr>
            <w:tcW w:w="960" w:type="dxa"/>
            <w:tcBorders>
              <w:top w:val="nil"/>
              <w:left w:val="nil"/>
              <w:bottom w:val="nil"/>
              <w:right w:val="nil"/>
            </w:tcBorders>
            <w:noWrap/>
            <w:vAlign w:val="bottom"/>
            <w:hideMark/>
          </w:tcPr>
          <w:p w14:paraId="1517AEB7"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37</w:t>
            </w:r>
          </w:p>
        </w:tc>
        <w:tc>
          <w:tcPr>
            <w:tcW w:w="960" w:type="dxa"/>
            <w:tcBorders>
              <w:top w:val="nil"/>
              <w:left w:val="nil"/>
              <w:bottom w:val="nil"/>
              <w:right w:val="nil"/>
            </w:tcBorders>
            <w:noWrap/>
            <w:vAlign w:val="bottom"/>
            <w:hideMark/>
          </w:tcPr>
          <w:p w14:paraId="4896720E"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77.5%</w:t>
            </w:r>
          </w:p>
        </w:tc>
        <w:tc>
          <w:tcPr>
            <w:tcW w:w="960" w:type="dxa"/>
            <w:tcBorders>
              <w:top w:val="nil"/>
              <w:left w:val="nil"/>
              <w:bottom w:val="nil"/>
              <w:right w:val="nil"/>
            </w:tcBorders>
            <w:noWrap/>
            <w:vAlign w:val="bottom"/>
            <w:hideMark/>
          </w:tcPr>
          <w:p w14:paraId="4EA2592E"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71.5%</w:t>
            </w:r>
          </w:p>
        </w:tc>
        <w:tc>
          <w:tcPr>
            <w:tcW w:w="960" w:type="dxa"/>
            <w:tcBorders>
              <w:top w:val="nil"/>
              <w:left w:val="nil"/>
              <w:bottom w:val="nil"/>
              <w:right w:val="nil"/>
            </w:tcBorders>
            <w:noWrap/>
            <w:vAlign w:val="bottom"/>
            <w:hideMark/>
          </w:tcPr>
          <w:p w14:paraId="4544083C"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p>
        </w:tc>
        <w:tc>
          <w:tcPr>
            <w:tcW w:w="960" w:type="dxa"/>
            <w:tcBorders>
              <w:top w:val="nil"/>
              <w:left w:val="nil"/>
              <w:bottom w:val="nil"/>
              <w:right w:val="nil"/>
            </w:tcBorders>
            <w:noWrap/>
            <w:vAlign w:val="bottom"/>
            <w:hideMark/>
          </w:tcPr>
          <w:p w14:paraId="5DFCCD6C"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62</w:t>
            </w:r>
          </w:p>
        </w:tc>
        <w:tc>
          <w:tcPr>
            <w:tcW w:w="960" w:type="dxa"/>
            <w:tcBorders>
              <w:top w:val="nil"/>
              <w:left w:val="nil"/>
              <w:bottom w:val="nil"/>
              <w:right w:val="nil"/>
            </w:tcBorders>
            <w:noWrap/>
            <w:vAlign w:val="bottom"/>
            <w:hideMark/>
          </w:tcPr>
          <w:p w14:paraId="46618A17"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87.50%</w:t>
            </w:r>
          </w:p>
        </w:tc>
        <w:tc>
          <w:tcPr>
            <w:tcW w:w="960" w:type="dxa"/>
            <w:tcBorders>
              <w:top w:val="nil"/>
              <w:left w:val="nil"/>
              <w:bottom w:val="nil"/>
              <w:right w:val="nil"/>
            </w:tcBorders>
            <w:noWrap/>
            <w:vAlign w:val="bottom"/>
            <w:hideMark/>
          </w:tcPr>
          <w:p w14:paraId="26FB76BD"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76%</w:t>
            </w:r>
          </w:p>
        </w:tc>
      </w:tr>
      <w:tr w:rsidR="009D00EE" w:rsidRPr="009D00EE" w14:paraId="6A1E4B2D" w14:textId="77777777" w:rsidTr="009D00EE">
        <w:trPr>
          <w:trHeight w:val="300"/>
        </w:trPr>
        <w:tc>
          <w:tcPr>
            <w:tcW w:w="960" w:type="dxa"/>
            <w:tcBorders>
              <w:top w:val="nil"/>
              <w:left w:val="nil"/>
              <w:bottom w:val="nil"/>
              <w:right w:val="nil"/>
            </w:tcBorders>
            <w:noWrap/>
            <w:vAlign w:val="bottom"/>
            <w:hideMark/>
          </w:tcPr>
          <w:p w14:paraId="5E4223AA"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38</w:t>
            </w:r>
          </w:p>
        </w:tc>
        <w:tc>
          <w:tcPr>
            <w:tcW w:w="960" w:type="dxa"/>
            <w:tcBorders>
              <w:top w:val="nil"/>
              <w:left w:val="nil"/>
              <w:bottom w:val="nil"/>
              <w:right w:val="nil"/>
            </w:tcBorders>
            <w:noWrap/>
            <w:vAlign w:val="bottom"/>
            <w:hideMark/>
          </w:tcPr>
          <w:p w14:paraId="2A5F29B2"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82.5%</w:t>
            </w:r>
          </w:p>
        </w:tc>
        <w:tc>
          <w:tcPr>
            <w:tcW w:w="960" w:type="dxa"/>
            <w:tcBorders>
              <w:top w:val="nil"/>
              <w:left w:val="nil"/>
              <w:bottom w:val="nil"/>
              <w:right w:val="nil"/>
            </w:tcBorders>
            <w:noWrap/>
            <w:vAlign w:val="bottom"/>
            <w:hideMark/>
          </w:tcPr>
          <w:p w14:paraId="1FCF4B96"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76.0%</w:t>
            </w:r>
          </w:p>
        </w:tc>
        <w:tc>
          <w:tcPr>
            <w:tcW w:w="960" w:type="dxa"/>
            <w:tcBorders>
              <w:top w:val="nil"/>
              <w:left w:val="nil"/>
              <w:bottom w:val="nil"/>
              <w:right w:val="nil"/>
            </w:tcBorders>
            <w:noWrap/>
            <w:vAlign w:val="bottom"/>
            <w:hideMark/>
          </w:tcPr>
          <w:p w14:paraId="6E937CA0"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p>
        </w:tc>
        <w:tc>
          <w:tcPr>
            <w:tcW w:w="960" w:type="dxa"/>
            <w:tcBorders>
              <w:top w:val="nil"/>
              <w:left w:val="nil"/>
              <w:bottom w:val="nil"/>
              <w:right w:val="nil"/>
            </w:tcBorders>
            <w:noWrap/>
            <w:vAlign w:val="bottom"/>
            <w:hideMark/>
          </w:tcPr>
          <w:p w14:paraId="2B20FCBD"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63</w:t>
            </w:r>
          </w:p>
        </w:tc>
        <w:tc>
          <w:tcPr>
            <w:tcW w:w="960" w:type="dxa"/>
            <w:tcBorders>
              <w:top w:val="nil"/>
              <w:left w:val="nil"/>
              <w:bottom w:val="nil"/>
              <w:right w:val="nil"/>
            </w:tcBorders>
            <w:noWrap/>
            <w:vAlign w:val="bottom"/>
            <w:hideMark/>
          </w:tcPr>
          <w:p w14:paraId="2B8CA6D1"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87.50%</w:t>
            </w:r>
          </w:p>
        </w:tc>
        <w:tc>
          <w:tcPr>
            <w:tcW w:w="960" w:type="dxa"/>
            <w:tcBorders>
              <w:top w:val="nil"/>
              <w:left w:val="nil"/>
              <w:bottom w:val="nil"/>
              <w:right w:val="nil"/>
            </w:tcBorders>
            <w:noWrap/>
            <w:vAlign w:val="bottom"/>
            <w:hideMark/>
          </w:tcPr>
          <w:p w14:paraId="4DE876B1"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76%</w:t>
            </w:r>
          </w:p>
        </w:tc>
      </w:tr>
      <w:tr w:rsidR="009D00EE" w:rsidRPr="009D00EE" w14:paraId="2E6290D2" w14:textId="77777777" w:rsidTr="009D00EE">
        <w:trPr>
          <w:trHeight w:val="300"/>
        </w:trPr>
        <w:tc>
          <w:tcPr>
            <w:tcW w:w="960" w:type="dxa"/>
            <w:tcBorders>
              <w:top w:val="nil"/>
              <w:left w:val="nil"/>
              <w:bottom w:val="nil"/>
              <w:right w:val="nil"/>
            </w:tcBorders>
            <w:noWrap/>
            <w:vAlign w:val="bottom"/>
            <w:hideMark/>
          </w:tcPr>
          <w:p w14:paraId="2736E640"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39</w:t>
            </w:r>
          </w:p>
        </w:tc>
        <w:tc>
          <w:tcPr>
            <w:tcW w:w="960" w:type="dxa"/>
            <w:tcBorders>
              <w:top w:val="nil"/>
              <w:left w:val="nil"/>
              <w:bottom w:val="nil"/>
              <w:right w:val="nil"/>
            </w:tcBorders>
            <w:noWrap/>
            <w:vAlign w:val="bottom"/>
            <w:hideMark/>
          </w:tcPr>
          <w:p w14:paraId="002BE41E"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87.5%</w:t>
            </w:r>
          </w:p>
        </w:tc>
        <w:tc>
          <w:tcPr>
            <w:tcW w:w="960" w:type="dxa"/>
            <w:tcBorders>
              <w:top w:val="nil"/>
              <w:left w:val="nil"/>
              <w:bottom w:val="nil"/>
              <w:right w:val="nil"/>
            </w:tcBorders>
            <w:noWrap/>
            <w:vAlign w:val="bottom"/>
            <w:hideMark/>
          </w:tcPr>
          <w:p w14:paraId="2EDB1596"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76.0%</w:t>
            </w:r>
          </w:p>
        </w:tc>
        <w:tc>
          <w:tcPr>
            <w:tcW w:w="960" w:type="dxa"/>
            <w:tcBorders>
              <w:top w:val="nil"/>
              <w:left w:val="nil"/>
              <w:bottom w:val="nil"/>
              <w:right w:val="nil"/>
            </w:tcBorders>
            <w:noWrap/>
            <w:vAlign w:val="bottom"/>
            <w:hideMark/>
          </w:tcPr>
          <w:p w14:paraId="25D7E84C"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p>
        </w:tc>
        <w:tc>
          <w:tcPr>
            <w:tcW w:w="960" w:type="dxa"/>
            <w:tcBorders>
              <w:top w:val="nil"/>
              <w:left w:val="nil"/>
              <w:bottom w:val="nil"/>
              <w:right w:val="nil"/>
            </w:tcBorders>
            <w:noWrap/>
            <w:vAlign w:val="bottom"/>
            <w:hideMark/>
          </w:tcPr>
          <w:p w14:paraId="66F77470"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64</w:t>
            </w:r>
          </w:p>
        </w:tc>
        <w:tc>
          <w:tcPr>
            <w:tcW w:w="960" w:type="dxa"/>
            <w:tcBorders>
              <w:top w:val="nil"/>
              <w:left w:val="nil"/>
              <w:bottom w:val="nil"/>
              <w:right w:val="nil"/>
            </w:tcBorders>
            <w:noWrap/>
            <w:vAlign w:val="bottom"/>
            <w:hideMark/>
          </w:tcPr>
          <w:p w14:paraId="3E3ADBCE"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87.50%</w:t>
            </w:r>
          </w:p>
        </w:tc>
        <w:tc>
          <w:tcPr>
            <w:tcW w:w="960" w:type="dxa"/>
            <w:tcBorders>
              <w:top w:val="nil"/>
              <w:left w:val="nil"/>
              <w:bottom w:val="nil"/>
              <w:right w:val="nil"/>
            </w:tcBorders>
            <w:noWrap/>
            <w:vAlign w:val="bottom"/>
            <w:hideMark/>
          </w:tcPr>
          <w:p w14:paraId="730F55FC"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76%</w:t>
            </w:r>
          </w:p>
        </w:tc>
      </w:tr>
      <w:tr w:rsidR="009D00EE" w:rsidRPr="009D00EE" w14:paraId="565F47E0" w14:textId="77777777" w:rsidTr="009D00EE">
        <w:trPr>
          <w:trHeight w:val="300"/>
        </w:trPr>
        <w:tc>
          <w:tcPr>
            <w:tcW w:w="960" w:type="dxa"/>
            <w:tcBorders>
              <w:top w:val="nil"/>
              <w:left w:val="nil"/>
              <w:bottom w:val="nil"/>
              <w:right w:val="nil"/>
            </w:tcBorders>
            <w:noWrap/>
            <w:vAlign w:val="bottom"/>
            <w:hideMark/>
          </w:tcPr>
          <w:p w14:paraId="165A8DE6"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40</w:t>
            </w:r>
          </w:p>
        </w:tc>
        <w:tc>
          <w:tcPr>
            <w:tcW w:w="960" w:type="dxa"/>
            <w:tcBorders>
              <w:top w:val="nil"/>
              <w:left w:val="nil"/>
              <w:bottom w:val="nil"/>
              <w:right w:val="nil"/>
            </w:tcBorders>
            <w:noWrap/>
            <w:vAlign w:val="bottom"/>
            <w:hideMark/>
          </w:tcPr>
          <w:p w14:paraId="2B028094"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87.5%</w:t>
            </w:r>
          </w:p>
        </w:tc>
        <w:tc>
          <w:tcPr>
            <w:tcW w:w="960" w:type="dxa"/>
            <w:tcBorders>
              <w:top w:val="nil"/>
              <w:left w:val="nil"/>
              <w:bottom w:val="nil"/>
              <w:right w:val="nil"/>
            </w:tcBorders>
            <w:noWrap/>
            <w:vAlign w:val="bottom"/>
            <w:hideMark/>
          </w:tcPr>
          <w:p w14:paraId="1A0B874F"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76.0%</w:t>
            </w:r>
          </w:p>
        </w:tc>
        <w:tc>
          <w:tcPr>
            <w:tcW w:w="960" w:type="dxa"/>
            <w:tcBorders>
              <w:top w:val="nil"/>
              <w:left w:val="nil"/>
              <w:bottom w:val="nil"/>
              <w:right w:val="nil"/>
            </w:tcBorders>
            <w:noWrap/>
            <w:vAlign w:val="bottom"/>
            <w:hideMark/>
          </w:tcPr>
          <w:p w14:paraId="4752977F"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p>
        </w:tc>
        <w:tc>
          <w:tcPr>
            <w:tcW w:w="960" w:type="dxa"/>
            <w:tcBorders>
              <w:top w:val="nil"/>
              <w:left w:val="nil"/>
              <w:bottom w:val="nil"/>
              <w:right w:val="nil"/>
            </w:tcBorders>
            <w:noWrap/>
            <w:vAlign w:val="bottom"/>
            <w:hideMark/>
          </w:tcPr>
          <w:p w14:paraId="468ACD03"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65</w:t>
            </w:r>
          </w:p>
        </w:tc>
        <w:tc>
          <w:tcPr>
            <w:tcW w:w="960" w:type="dxa"/>
            <w:tcBorders>
              <w:top w:val="nil"/>
              <w:left w:val="nil"/>
              <w:bottom w:val="nil"/>
              <w:right w:val="nil"/>
            </w:tcBorders>
            <w:noWrap/>
            <w:vAlign w:val="bottom"/>
            <w:hideMark/>
          </w:tcPr>
          <w:p w14:paraId="55E7B8D1"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87.50%</w:t>
            </w:r>
          </w:p>
        </w:tc>
        <w:tc>
          <w:tcPr>
            <w:tcW w:w="960" w:type="dxa"/>
            <w:tcBorders>
              <w:top w:val="nil"/>
              <w:left w:val="nil"/>
              <w:bottom w:val="nil"/>
              <w:right w:val="nil"/>
            </w:tcBorders>
            <w:noWrap/>
            <w:vAlign w:val="bottom"/>
            <w:hideMark/>
          </w:tcPr>
          <w:p w14:paraId="35AA03C4"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76%</w:t>
            </w:r>
          </w:p>
        </w:tc>
      </w:tr>
      <w:tr w:rsidR="009D00EE" w:rsidRPr="009D00EE" w14:paraId="7B6B62BF" w14:textId="77777777" w:rsidTr="009D00EE">
        <w:trPr>
          <w:trHeight w:val="300"/>
        </w:trPr>
        <w:tc>
          <w:tcPr>
            <w:tcW w:w="960" w:type="dxa"/>
            <w:tcBorders>
              <w:top w:val="nil"/>
              <w:left w:val="nil"/>
              <w:bottom w:val="nil"/>
              <w:right w:val="nil"/>
            </w:tcBorders>
            <w:noWrap/>
            <w:vAlign w:val="bottom"/>
            <w:hideMark/>
          </w:tcPr>
          <w:p w14:paraId="205535C4"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41</w:t>
            </w:r>
          </w:p>
        </w:tc>
        <w:tc>
          <w:tcPr>
            <w:tcW w:w="960" w:type="dxa"/>
            <w:tcBorders>
              <w:top w:val="nil"/>
              <w:left w:val="nil"/>
              <w:bottom w:val="nil"/>
              <w:right w:val="nil"/>
            </w:tcBorders>
            <w:noWrap/>
            <w:vAlign w:val="bottom"/>
            <w:hideMark/>
          </w:tcPr>
          <w:p w14:paraId="7FFC6E6D"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87.5%</w:t>
            </w:r>
          </w:p>
        </w:tc>
        <w:tc>
          <w:tcPr>
            <w:tcW w:w="960" w:type="dxa"/>
            <w:tcBorders>
              <w:top w:val="nil"/>
              <w:left w:val="nil"/>
              <w:bottom w:val="nil"/>
              <w:right w:val="nil"/>
            </w:tcBorders>
            <w:noWrap/>
            <w:vAlign w:val="bottom"/>
            <w:hideMark/>
          </w:tcPr>
          <w:p w14:paraId="12253DB7"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76.0%</w:t>
            </w:r>
          </w:p>
        </w:tc>
        <w:tc>
          <w:tcPr>
            <w:tcW w:w="960" w:type="dxa"/>
            <w:tcBorders>
              <w:top w:val="nil"/>
              <w:left w:val="nil"/>
              <w:bottom w:val="nil"/>
              <w:right w:val="nil"/>
            </w:tcBorders>
            <w:noWrap/>
            <w:vAlign w:val="bottom"/>
            <w:hideMark/>
          </w:tcPr>
          <w:p w14:paraId="39BD6189"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p>
        </w:tc>
        <w:tc>
          <w:tcPr>
            <w:tcW w:w="960" w:type="dxa"/>
            <w:tcBorders>
              <w:top w:val="nil"/>
              <w:left w:val="nil"/>
              <w:bottom w:val="nil"/>
              <w:right w:val="nil"/>
            </w:tcBorders>
            <w:noWrap/>
            <w:vAlign w:val="bottom"/>
            <w:hideMark/>
          </w:tcPr>
          <w:p w14:paraId="31538642"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66</w:t>
            </w:r>
          </w:p>
        </w:tc>
        <w:tc>
          <w:tcPr>
            <w:tcW w:w="960" w:type="dxa"/>
            <w:tcBorders>
              <w:top w:val="nil"/>
              <w:left w:val="nil"/>
              <w:bottom w:val="nil"/>
              <w:right w:val="nil"/>
            </w:tcBorders>
            <w:noWrap/>
            <w:vAlign w:val="bottom"/>
            <w:hideMark/>
          </w:tcPr>
          <w:p w14:paraId="6C52625F"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87.50%</w:t>
            </w:r>
          </w:p>
        </w:tc>
        <w:tc>
          <w:tcPr>
            <w:tcW w:w="960" w:type="dxa"/>
            <w:tcBorders>
              <w:top w:val="nil"/>
              <w:left w:val="nil"/>
              <w:bottom w:val="nil"/>
              <w:right w:val="nil"/>
            </w:tcBorders>
            <w:noWrap/>
            <w:vAlign w:val="bottom"/>
            <w:hideMark/>
          </w:tcPr>
          <w:p w14:paraId="2F94D2E5"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76%</w:t>
            </w:r>
          </w:p>
        </w:tc>
      </w:tr>
      <w:tr w:rsidR="009D00EE" w:rsidRPr="009D00EE" w14:paraId="2A0646D5" w14:textId="77777777" w:rsidTr="009D00EE">
        <w:trPr>
          <w:trHeight w:val="300"/>
        </w:trPr>
        <w:tc>
          <w:tcPr>
            <w:tcW w:w="960" w:type="dxa"/>
            <w:tcBorders>
              <w:top w:val="nil"/>
              <w:left w:val="nil"/>
              <w:bottom w:val="nil"/>
              <w:right w:val="nil"/>
            </w:tcBorders>
            <w:noWrap/>
            <w:vAlign w:val="bottom"/>
            <w:hideMark/>
          </w:tcPr>
          <w:p w14:paraId="61B82522"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42</w:t>
            </w:r>
          </w:p>
        </w:tc>
        <w:tc>
          <w:tcPr>
            <w:tcW w:w="960" w:type="dxa"/>
            <w:tcBorders>
              <w:top w:val="nil"/>
              <w:left w:val="nil"/>
              <w:bottom w:val="nil"/>
              <w:right w:val="nil"/>
            </w:tcBorders>
            <w:noWrap/>
            <w:vAlign w:val="bottom"/>
            <w:hideMark/>
          </w:tcPr>
          <w:p w14:paraId="70756AFB"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87.5%</w:t>
            </w:r>
          </w:p>
        </w:tc>
        <w:tc>
          <w:tcPr>
            <w:tcW w:w="960" w:type="dxa"/>
            <w:tcBorders>
              <w:top w:val="nil"/>
              <w:left w:val="nil"/>
              <w:bottom w:val="nil"/>
              <w:right w:val="nil"/>
            </w:tcBorders>
            <w:noWrap/>
            <w:vAlign w:val="bottom"/>
            <w:hideMark/>
          </w:tcPr>
          <w:p w14:paraId="63961305"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76.0%</w:t>
            </w:r>
          </w:p>
        </w:tc>
        <w:tc>
          <w:tcPr>
            <w:tcW w:w="960" w:type="dxa"/>
            <w:tcBorders>
              <w:top w:val="nil"/>
              <w:left w:val="nil"/>
              <w:bottom w:val="nil"/>
              <w:right w:val="nil"/>
            </w:tcBorders>
            <w:noWrap/>
            <w:vAlign w:val="bottom"/>
            <w:hideMark/>
          </w:tcPr>
          <w:p w14:paraId="0F64A021"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p>
        </w:tc>
        <w:tc>
          <w:tcPr>
            <w:tcW w:w="960" w:type="dxa"/>
            <w:tcBorders>
              <w:top w:val="nil"/>
              <w:left w:val="nil"/>
              <w:bottom w:val="nil"/>
              <w:right w:val="nil"/>
            </w:tcBorders>
            <w:noWrap/>
            <w:vAlign w:val="bottom"/>
            <w:hideMark/>
          </w:tcPr>
          <w:p w14:paraId="225FC863"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67</w:t>
            </w:r>
          </w:p>
        </w:tc>
        <w:tc>
          <w:tcPr>
            <w:tcW w:w="960" w:type="dxa"/>
            <w:tcBorders>
              <w:top w:val="nil"/>
              <w:left w:val="nil"/>
              <w:bottom w:val="nil"/>
              <w:right w:val="nil"/>
            </w:tcBorders>
            <w:noWrap/>
            <w:vAlign w:val="bottom"/>
            <w:hideMark/>
          </w:tcPr>
          <w:p w14:paraId="4F9752DC"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87.50%</w:t>
            </w:r>
          </w:p>
        </w:tc>
        <w:tc>
          <w:tcPr>
            <w:tcW w:w="960" w:type="dxa"/>
            <w:tcBorders>
              <w:top w:val="nil"/>
              <w:left w:val="nil"/>
              <w:bottom w:val="nil"/>
              <w:right w:val="nil"/>
            </w:tcBorders>
            <w:noWrap/>
            <w:vAlign w:val="bottom"/>
            <w:hideMark/>
          </w:tcPr>
          <w:p w14:paraId="7B52940A" w14:textId="77777777" w:rsidR="009D00EE" w:rsidRPr="009D00EE" w:rsidRDefault="009D00EE" w:rsidP="009D00EE">
            <w:pPr>
              <w:spacing w:line="240" w:lineRule="auto"/>
              <w:jc w:val="right"/>
              <w:rPr>
                <w:rFonts w:ascii="Calibri" w:eastAsia="Times New Roman" w:hAnsi="Calibri" w:cs="Times New Roman"/>
                <w:color w:val="000000"/>
                <w:sz w:val="22"/>
                <w:lang w:val="nl-NL" w:eastAsia="nl-NL"/>
              </w:rPr>
            </w:pPr>
            <w:r w:rsidRPr="009D00EE">
              <w:rPr>
                <w:rFonts w:ascii="Calibri" w:eastAsia="Times New Roman" w:hAnsi="Calibri" w:cs="Times New Roman"/>
                <w:color w:val="000000"/>
                <w:sz w:val="22"/>
                <w:lang w:val="nl-NL" w:eastAsia="nl-NL"/>
              </w:rPr>
              <w:t>76%</w:t>
            </w:r>
          </w:p>
        </w:tc>
      </w:tr>
    </w:tbl>
    <w:p w14:paraId="1C54F0A4" w14:textId="77777777" w:rsidR="000326ED" w:rsidRPr="00795D82" w:rsidRDefault="000326ED" w:rsidP="00451E81">
      <w:pPr>
        <w:rPr>
          <w:lang w:val="nl-NL"/>
        </w:rPr>
      </w:pPr>
    </w:p>
    <w:p w14:paraId="614DC588" w14:textId="77777777" w:rsidR="00320827" w:rsidRDefault="00320827" w:rsidP="00CA1B5F">
      <w:pPr>
        <w:pStyle w:val="Kop1"/>
        <w:numPr>
          <w:ilvl w:val="0"/>
          <w:numId w:val="0"/>
        </w:numPr>
        <w:rPr>
          <w:rFonts w:hint="eastAsia"/>
          <w:lang w:val="nl-NL"/>
        </w:rPr>
      </w:pPr>
    </w:p>
    <w:p w14:paraId="624A1247" w14:textId="77777777" w:rsidR="000E34E8" w:rsidRDefault="000E34E8">
      <w:pPr>
        <w:spacing w:after="200" w:line="276" w:lineRule="auto"/>
        <w:rPr>
          <w:rFonts w:asciiTheme="majorHAnsi" w:eastAsiaTheme="majorEastAsia" w:hAnsiTheme="majorHAnsi" w:cstheme="majorBidi" w:hint="eastAsia"/>
          <w:b/>
          <w:bCs/>
          <w:sz w:val="24"/>
          <w:szCs w:val="28"/>
          <w:lang w:val="nl-NL"/>
        </w:rPr>
      </w:pPr>
      <w:r>
        <w:rPr>
          <w:lang w:val="nl-NL"/>
        </w:rPr>
        <w:br w:type="page"/>
      </w:r>
    </w:p>
    <w:p w14:paraId="3430ED3F" w14:textId="2B3D1B39" w:rsidR="00E7140D" w:rsidRPr="00E7140D" w:rsidRDefault="00E7140D" w:rsidP="00E7140D">
      <w:pPr>
        <w:pStyle w:val="Kop1"/>
        <w:numPr>
          <w:ilvl w:val="0"/>
          <w:numId w:val="0"/>
        </w:numPr>
        <w:rPr>
          <w:rFonts w:hint="eastAsia"/>
          <w:lang w:val="nl-NL"/>
        </w:rPr>
      </w:pPr>
      <w:bookmarkStart w:id="64" w:name="_Toc231804786"/>
      <w:r w:rsidRPr="00E7140D">
        <w:rPr>
          <w:lang w:val="nl-NL"/>
        </w:rPr>
        <w:lastRenderedPageBreak/>
        <w:t xml:space="preserve">BIJLAGE </w:t>
      </w:r>
      <w:r w:rsidR="000D6191">
        <w:rPr>
          <w:lang w:val="nl-NL"/>
        </w:rPr>
        <w:t>3</w:t>
      </w:r>
      <w:r w:rsidRPr="00E7140D">
        <w:rPr>
          <w:lang w:val="nl-NL"/>
        </w:rPr>
        <w:t>: Verklaring inzake beleggingsbeginselen</w:t>
      </w:r>
      <w:bookmarkEnd w:id="64"/>
    </w:p>
    <w:p w14:paraId="540A60F4" w14:textId="77777777" w:rsidR="00E7140D" w:rsidRPr="00E7140D" w:rsidRDefault="00E7140D" w:rsidP="00E7140D">
      <w:pPr>
        <w:rPr>
          <w:lang w:val="nl-NL"/>
        </w:rPr>
      </w:pPr>
    </w:p>
    <w:p w14:paraId="2D364D07" w14:textId="77777777" w:rsidR="008814A0" w:rsidRDefault="008814A0" w:rsidP="008814A0">
      <w:pPr>
        <w:spacing w:line="280" w:lineRule="exact"/>
        <w:rPr>
          <w:rFonts w:cs="Arial"/>
          <w:szCs w:val="20"/>
          <w:lang w:val="nl-NL"/>
        </w:rPr>
      </w:pPr>
      <w:r>
        <w:rPr>
          <w:rFonts w:cs="Arial"/>
          <w:szCs w:val="20"/>
          <w:lang w:val="nl-NL"/>
        </w:rPr>
        <w:t>Deze Verklaring inzake de beleggingsbeginselen van Stichting ING</w:t>
      </w:r>
      <w:r w:rsidR="00845DF3">
        <w:rPr>
          <w:rFonts w:cs="Arial"/>
          <w:szCs w:val="20"/>
          <w:lang w:val="nl-NL"/>
        </w:rPr>
        <w:t xml:space="preserve"> </w:t>
      </w:r>
      <w:r>
        <w:rPr>
          <w:rFonts w:cs="Arial"/>
          <w:szCs w:val="20"/>
          <w:lang w:val="nl-NL"/>
        </w:rPr>
        <w:t>CDC Pensioenfonds geeft weer:</w:t>
      </w:r>
    </w:p>
    <w:p w14:paraId="1735DDF6" w14:textId="77777777" w:rsidR="008814A0" w:rsidRDefault="008814A0" w:rsidP="001E699B">
      <w:pPr>
        <w:pStyle w:val="Lijstalinea"/>
        <w:widowControl w:val="0"/>
        <w:numPr>
          <w:ilvl w:val="0"/>
          <w:numId w:val="30"/>
        </w:numPr>
        <w:spacing w:before="0" w:after="0" w:line="280" w:lineRule="exact"/>
        <w:rPr>
          <w:rFonts w:cs="Arial"/>
          <w:szCs w:val="20"/>
          <w:lang w:val="nl-NL"/>
        </w:rPr>
      </w:pPr>
      <w:r>
        <w:rPr>
          <w:rFonts w:cs="Arial"/>
          <w:szCs w:val="20"/>
          <w:lang w:val="nl-NL"/>
        </w:rPr>
        <w:t xml:space="preserve">De pensioendoelstellingen, de doelstelling van het beleggingsbeleid, de risicohouding en het risicoprofiel van </w:t>
      </w:r>
      <w:r w:rsidR="001B2EC0">
        <w:rPr>
          <w:rFonts w:cs="Arial"/>
          <w:szCs w:val="20"/>
          <w:lang w:val="nl-NL"/>
        </w:rPr>
        <w:t>het fonds</w:t>
      </w:r>
      <w:r>
        <w:rPr>
          <w:rFonts w:cs="Arial"/>
          <w:szCs w:val="20"/>
          <w:lang w:val="nl-NL"/>
        </w:rPr>
        <w:t xml:space="preserve"> die ten grondslag liggen aan het strategisch beleggingsbeleid</w:t>
      </w:r>
      <w:r w:rsidR="003B79B2">
        <w:rPr>
          <w:rFonts w:cs="Arial"/>
          <w:szCs w:val="20"/>
          <w:lang w:val="nl-NL"/>
        </w:rPr>
        <w:t>.</w:t>
      </w:r>
    </w:p>
    <w:p w14:paraId="0890E6BC" w14:textId="3780C442" w:rsidR="008814A0" w:rsidRDefault="008814A0" w:rsidP="001E699B">
      <w:pPr>
        <w:pStyle w:val="Lijstalinea"/>
        <w:widowControl w:val="0"/>
        <w:numPr>
          <w:ilvl w:val="0"/>
          <w:numId w:val="30"/>
        </w:numPr>
        <w:spacing w:before="0" w:after="0" w:line="280" w:lineRule="exact"/>
        <w:rPr>
          <w:rFonts w:cs="Arial"/>
          <w:szCs w:val="20"/>
          <w:lang w:val="nl-NL"/>
        </w:rPr>
      </w:pPr>
      <w:r>
        <w:rPr>
          <w:rFonts w:cs="Arial"/>
          <w:szCs w:val="20"/>
          <w:lang w:val="nl-NL"/>
        </w:rPr>
        <w:t>Het strategisch</w:t>
      </w:r>
      <w:r w:rsidR="00A51A3A">
        <w:rPr>
          <w:rFonts w:cs="Arial"/>
          <w:szCs w:val="20"/>
          <w:lang w:val="nl-NL"/>
        </w:rPr>
        <w:t>e</w:t>
      </w:r>
      <w:r>
        <w:rPr>
          <w:rFonts w:cs="Arial"/>
          <w:szCs w:val="20"/>
          <w:lang w:val="nl-NL"/>
        </w:rPr>
        <w:t xml:space="preserve"> beleggingsbeleid van </w:t>
      </w:r>
      <w:r w:rsidR="001B2EC0">
        <w:rPr>
          <w:rFonts w:cs="Arial"/>
          <w:szCs w:val="20"/>
          <w:lang w:val="nl-NL"/>
        </w:rPr>
        <w:t>het fonds</w:t>
      </w:r>
      <w:r>
        <w:rPr>
          <w:rFonts w:cs="Arial"/>
          <w:szCs w:val="20"/>
          <w:lang w:val="nl-NL"/>
        </w:rPr>
        <w:t>, waaronder de strategische allocatie van beleggingen naar beleggingscategorieën en de beleidskeuzes voor de afdekking van renterisico</w:t>
      </w:r>
      <w:r w:rsidR="00BC4501">
        <w:rPr>
          <w:rFonts w:cs="Arial"/>
          <w:szCs w:val="20"/>
          <w:lang w:val="nl-NL"/>
        </w:rPr>
        <w:t>,</w:t>
      </w:r>
      <w:r>
        <w:rPr>
          <w:rFonts w:cs="Arial"/>
          <w:szCs w:val="20"/>
          <w:lang w:val="nl-NL"/>
        </w:rPr>
        <w:t xml:space="preserve"> valutarisico</w:t>
      </w:r>
      <w:r w:rsidR="00DC2623">
        <w:rPr>
          <w:rFonts w:cs="Arial"/>
          <w:szCs w:val="20"/>
          <w:lang w:val="nl-NL"/>
        </w:rPr>
        <w:t xml:space="preserve"> </w:t>
      </w:r>
      <w:r w:rsidR="00DB5132">
        <w:rPr>
          <w:rFonts w:cs="Arial"/>
          <w:szCs w:val="20"/>
          <w:lang w:val="nl-NL"/>
        </w:rPr>
        <w:t>en duurzaamheidsrisico’s</w:t>
      </w:r>
    </w:p>
    <w:p w14:paraId="39F06EE6" w14:textId="77777777" w:rsidR="008814A0" w:rsidRPr="00E94C24" w:rsidRDefault="008814A0" w:rsidP="001E699B">
      <w:pPr>
        <w:pStyle w:val="Lijstalinea"/>
        <w:widowControl w:val="0"/>
        <w:numPr>
          <w:ilvl w:val="0"/>
          <w:numId w:val="30"/>
        </w:numPr>
        <w:spacing w:before="0" w:after="0" w:line="280" w:lineRule="exact"/>
        <w:rPr>
          <w:rFonts w:cs="Arial"/>
          <w:szCs w:val="20"/>
          <w:lang w:val="nl-NL"/>
        </w:rPr>
      </w:pPr>
      <w:r>
        <w:rPr>
          <w:rFonts w:cs="Arial"/>
          <w:szCs w:val="20"/>
          <w:lang w:val="nl-NL"/>
        </w:rPr>
        <w:t>De besluitvormingsprocessen en de risicobeheerprocedures, waaronder de toegepaste methoden om beleggingsrisico’s te meten en te wegen.</w:t>
      </w:r>
    </w:p>
    <w:p w14:paraId="57DB34A9" w14:textId="77777777" w:rsidR="008814A0" w:rsidRDefault="008814A0" w:rsidP="008814A0">
      <w:pPr>
        <w:spacing w:line="280" w:lineRule="exact"/>
        <w:rPr>
          <w:rFonts w:cs="Arial"/>
          <w:szCs w:val="20"/>
          <w:lang w:val="nl-NL"/>
        </w:rPr>
      </w:pPr>
    </w:p>
    <w:p w14:paraId="0F801FB3" w14:textId="77777777" w:rsidR="008814A0" w:rsidRPr="003B79B2" w:rsidRDefault="008814A0" w:rsidP="003B79B2">
      <w:pPr>
        <w:spacing w:line="280" w:lineRule="exact"/>
        <w:rPr>
          <w:lang w:val="nl-NL"/>
        </w:rPr>
      </w:pPr>
      <w:r w:rsidRPr="003B79B2">
        <w:rPr>
          <w:lang w:val="nl-NL"/>
        </w:rPr>
        <w:t xml:space="preserve">Het beleggingsbeleid van </w:t>
      </w:r>
      <w:r w:rsidR="00DC508C">
        <w:rPr>
          <w:lang w:val="nl-NL"/>
        </w:rPr>
        <w:t xml:space="preserve">ING CDC Pensioenfonds </w:t>
      </w:r>
      <w:r w:rsidRPr="003B79B2">
        <w:rPr>
          <w:lang w:val="nl-NL"/>
        </w:rPr>
        <w:t>wordt vastgesteld door het bestuur, met inachtneming van de in deze Verklaring vastgelegde uitgangspunten van het beleggingsbeleid. Deze Verklaring wordt minimaal eens in de drie jaar herzien. Indien tussentijds belangrijke wijzigingen optreden in het beleggingsbeleid wordt de verklaring tussentijds herzien.</w:t>
      </w:r>
    </w:p>
    <w:p w14:paraId="414CC382" w14:textId="77777777" w:rsidR="008814A0" w:rsidRDefault="008814A0" w:rsidP="008814A0">
      <w:pPr>
        <w:spacing w:line="280" w:lineRule="exact"/>
        <w:rPr>
          <w:rFonts w:cs="Arial"/>
          <w:szCs w:val="20"/>
          <w:lang w:val="nl-NL"/>
        </w:rPr>
      </w:pPr>
    </w:p>
    <w:p w14:paraId="38F535E2" w14:textId="77777777" w:rsidR="008814A0" w:rsidRPr="009462DD" w:rsidRDefault="008814A0" w:rsidP="008814A0">
      <w:pPr>
        <w:spacing w:line="280" w:lineRule="exact"/>
        <w:rPr>
          <w:rFonts w:cs="Arial"/>
          <w:b/>
          <w:sz w:val="24"/>
          <w:szCs w:val="24"/>
          <w:lang w:val="nl-NL"/>
        </w:rPr>
      </w:pPr>
      <w:r w:rsidRPr="009462DD">
        <w:rPr>
          <w:rFonts w:cs="Arial"/>
          <w:b/>
          <w:sz w:val="24"/>
          <w:szCs w:val="24"/>
          <w:lang w:val="nl-NL"/>
        </w:rPr>
        <w:t xml:space="preserve">De pensioendoelstellingen, </w:t>
      </w:r>
      <w:r>
        <w:rPr>
          <w:rFonts w:cs="Arial"/>
          <w:b/>
          <w:sz w:val="24"/>
          <w:szCs w:val="24"/>
          <w:lang w:val="nl-NL"/>
        </w:rPr>
        <w:t xml:space="preserve">de doelstelling van het beleggingsbeleid, </w:t>
      </w:r>
      <w:r w:rsidRPr="009462DD">
        <w:rPr>
          <w:rFonts w:cs="Arial"/>
          <w:b/>
          <w:sz w:val="24"/>
          <w:szCs w:val="24"/>
          <w:lang w:val="nl-NL"/>
        </w:rPr>
        <w:t xml:space="preserve">de risicohouding en het risicoprofiel </w:t>
      </w:r>
      <w:r w:rsidRPr="00641F24">
        <w:rPr>
          <w:rFonts w:cs="Arial"/>
          <w:b/>
          <w:sz w:val="24"/>
          <w:szCs w:val="24"/>
          <w:lang w:val="nl-NL"/>
        </w:rPr>
        <w:t xml:space="preserve">van </w:t>
      </w:r>
      <w:r w:rsidR="00DC508C" w:rsidRPr="00641F24">
        <w:rPr>
          <w:b/>
          <w:sz w:val="24"/>
          <w:szCs w:val="24"/>
          <w:lang w:val="nl-NL"/>
        </w:rPr>
        <w:t>ING CDC Pensioenfonds</w:t>
      </w:r>
    </w:p>
    <w:p w14:paraId="3220E8E8" w14:textId="77777777" w:rsidR="008814A0" w:rsidRDefault="008814A0" w:rsidP="008814A0">
      <w:pPr>
        <w:spacing w:after="200" w:line="276" w:lineRule="auto"/>
        <w:contextualSpacing/>
        <w:jc w:val="both"/>
        <w:rPr>
          <w:rFonts w:cs="Arial"/>
          <w:sz w:val="22"/>
          <w:lang w:val="nl-NL"/>
        </w:rPr>
      </w:pPr>
    </w:p>
    <w:p w14:paraId="3393E2E6" w14:textId="77777777" w:rsidR="008814A0" w:rsidRPr="00103B63" w:rsidRDefault="008814A0" w:rsidP="008814A0">
      <w:pPr>
        <w:spacing w:line="280" w:lineRule="exact"/>
        <w:rPr>
          <w:rFonts w:cs="Arial"/>
          <w:b/>
          <w:i/>
          <w:szCs w:val="20"/>
          <w:lang w:val="nl-NL"/>
        </w:rPr>
      </w:pPr>
      <w:r>
        <w:rPr>
          <w:rFonts w:cs="Arial"/>
          <w:b/>
          <w:i/>
          <w:szCs w:val="20"/>
          <w:lang w:val="nl-NL"/>
        </w:rPr>
        <w:t>De p</w:t>
      </w:r>
      <w:r w:rsidRPr="00103B63">
        <w:rPr>
          <w:rFonts w:cs="Arial"/>
          <w:b/>
          <w:i/>
          <w:szCs w:val="20"/>
          <w:lang w:val="nl-NL"/>
        </w:rPr>
        <w:t>ensioendoelstellingen</w:t>
      </w:r>
      <w:r>
        <w:rPr>
          <w:rFonts w:cs="Arial"/>
          <w:b/>
          <w:i/>
          <w:szCs w:val="20"/>
          <w:lang w:val="nl-NL"/>
        </w:rPr>
        <w:br/>
      </w:r>
    </w:p>
    <w:p w14:paraId="4B746A7F" w14:textId="77777777" w:rsidR="008814A0" w:rsidRPr="00675B59" w:rsidRDefault="008814A0" w:rsidP="008814A0">
      <w:pPr>
        <w:spacing w:line="280" w:lineRule="exact"/>
        <w:rPr>
          <w:rFonts w:cs="Arial"/>
          <w:szCs w:val="20"/>
          <w:lang w:val="nl-NL"/>
        </w:rPr>
      </w:pPr>
      <w:r w:rsidRPr="00675B59">
        <w:rPr>
          <w:rFonts w:cs="Arial"/>
          <w:szCs w:val="20"/>
          <w:lang w:val="nl-NL"/>
        </w:rPr>
        <w:t xml:space="preserve">De pensioendoelstellingen van </w:t>
      </w:r>
      <w:r w:rsidR="007B40A0">
        <w:rPr>
          <w:rFonts w:cs="Arial"/>
          <w:szCs w:val="20"/>
          <w:lang w:val="nl-NL"/>
        </w:rPr>
        <w:t>ING CDC Pensioenfonds</w:t>
      </w:r>
      <w:r w:rsidRPr="00675B59">
        <w:rPr>
          <w:rFonts w:cs="Arial"/>
          <w:szCs w:val="20"/>
          <w:lang w:val="nl-NL"/>
        </w:rPr>
        <w:t xml:space="preserve"> zijn afgeleid van de pensioenambitie die </w:t>
      </w:r>
      <w:r>
        <w:rPr>
          <w:rFonts w:cs="Arial"/>
          <w:szCs w:val="20"/>
          <w:lang w:val="nl-NL"/>
        </w:rPr>
        <w:t xml:space="preserve">is uitgewerkt in </w:t>
      </w:r>
      <w:r w:rsidRPr="00675B59">
        <w:rPr>
          <w:rFonts w:cs="Arial"/>
          <w:szCs w:val="20"/>
          <w:lang w:val="nl-NL"/>
        </w:rPr>
        <w:t>de CDC pensioenregeling van ING:</w:t>
      </w:r>
    </w:p>
    <w:p w14:paraId="4C2654EA" w14:textId="364B7343" w:rsidR="008814A0" w:rsidRDefault="008814A0" w:rsidP="001E699B">
      <w:pPr>
        <w:pStyle w:val="Lijstalinea"/>
        <w:numPr>
          <w:ilvl w:val="0"/>
          <w:numId w:val="31"/>
        </w:numPr>
        <w:spacing w:before="100" w:beforeAutospacing="1" w:after="100" w:afterAutospacing="1" w:line="270" w:lineRule="atLeast"/>
        <w:rPr>
          <w:rFonts w:cs="Arial"/>
          <w:szCs w:val="20"/>
          <w:lang w:val="nl-NL"/>
        </w:rPr>
      </w:pPr>
      <w:r w:rsidRPr="004B047E">
        <w:rPr>
          <w:rFonts w:cs="Arial"/>
          <w:szCs w:val="20"/>
          <w:lang w:val="nl-NL"/>
        </w:rPr>
        <w:t xml:space="preserve">De opbouw-ambitie is om met de vaste CDC premie per jaar </w:t>
      </w:r>
      <w:r w:rsidR="00D25EDB">
        <w:rPr>
          <w:rFonts w:cs="Arial"/>
          <w:szCs w:val="20"/>
          <w:lang w:val="nl-NL"/>
        </w:rPr>
        <w:t>het fiscaal maximale percentage</w:t>
      </w:r>
      <w:r w:rsidRPr="004B047E">
        <w:rPr>
          <w:rFonts w:cs="Arial"/>
          <w:szCs w:val="20"/>
          <w:lang w:val="nl-NL"/>
        </w:rPr>
        <w:t xml:space="preserve"> van de pensioengrondslag als pensioen op te bouwen. De pensioengrondslag is het gemaximeerde pensioensalaris min</w:t>
      </w:r>
      <w:r w:rsidR="00A51A3A">
        <w:rPr>
          <w:rFonts w:cs="Arial"/>
          <w:szCs w:val="20"/>
          <w:lang w:val="nl-NL"/>
        </w:rPr>
        <w:t>us</w:t>
      </w:r>
      <w:r w:rsidRPr="004B047E">
        <w:rPr>
          <w:rFonts w:cs="Arial"/>
          <w:szCs w:val="20"/>
          <w:lang w:val="nl-NL"/>
        </w:rPr>
        <w:t xml:space="preserve"> de franchise. </w:t>
      </w:r>
    </w:p>
    <w:p w14:paraId="7594797C" w14:textId="4D7B0533" w:rsidR="008814A0" w:rsidRPr="00981F09" w:rsidRDefault="007B40A0" w:rsidP="001E699B">
      <w:pPr>
        <w:pStyle w:val="Lijstalinea"/>
        <w:numPr>
          <w:ilvl w:val="0"/>
          <w:numId w:val="31"/>
        </w:numPr>
        <w:spacing w:before="100" w:beforeAutospacing="1" w:after="100" w:afterAutospacing="1" w:line="270" w:lineRule="atLeast"/>
        <w:rPr>
          <w:rFonts w:cs="Arial"/>
          <w:szCs w:val="20"/>
          <w:lang w:val="nl-NL"/>
        </w:rPr>
      </w:pPr>
      <w:r>
        <w:rPr>
          <w:rFonts w:cs="Arial"/>
          <w:szCs w:val="20"/>
          <w:lang w:val="nl-NL"/>
        </w:rPr>
        <w:t>H</w:t>
      </w:r>
      <w:r w:rsidR="001B2EC0">
        <w:rPr>
          <w:rFonts w:cs="Arial"/>
          <w:szCs w:val="20"/>
          <w:lang w:val="nl-NL"/>
        </w:rPr>
        <w:t>et fonds</w:t>
      </w:r>
      <w:r w:rsidR="008814A0" w:rsidRPr="004B047E">
        <w:rPr>
          <w:rFonts w:cs="Arial"/>
          <w:szCs w:val="20"/>
          <w:lang w:val="nl-NL"/>
        </w:rPr>
        <w:t xml:space="preserve"> heeft niet een vooraf bepaalde toeslagambitie. Om het opgebouwde pensioen van waarde te houden, streeft </w:t>
      </w:r>
      <w:r w:rsidR="001B2EC0">
        <w:rPr>
          <w:rFonts w:cs="Arial"/>
          <w:szCs w:val="20"/>
          <w:lang w:val="nl-NL"/>
        </w:rPr>
        <w:t>het fonds</w:t>
      </w:r>
      <w:r w:rsidR="008814A0" w:rsidRPr="004B047E">
        <w:rPr>
          <w:rFonts w:cs="Arial"/>
          <w:szCs w:val="20"/>
          <w:lang w:val="nl-NL"/>
        </w:rPr>
        <w:t xml:space="preserve"> ernaar om het pensioen te verhogen. De hoogte van toekomstige toeslagen is volledig afhankelijk van de financiële situatie van </w:t>
      </w:r>
      <w:r w:rsidR="001B2EC0">
        <w:rPr>
          <w:rFonts w:cs="Arial"/>
          <w:szCs w:val="20"/>
          <w:lang w:val="nl-NL"/>
        </w:rPr>
        <w:t>het fonds</w:t>
      </w:r>
      <w:r w:rsidR="008814A0" w:rsidRPr="004B047E">
        <w:rPr>
          <w:rFonts w:cs="Arial"/>
          <w:szCs w:val="20"/>
          <w:lang w:val="nl-NL"/>
        </w:rPr>
        <w:t xml:space="preserve">. Toeslagen worden van jaar tot jaar vastgesteld door het bestuur als percentage van de </w:t>
      </w:r>
      <w:r w:rsidR="008814A0">
        <w:rPr>
          <w:rFonts w:cs="Arial"/>
          <w:szCs w:val="20"/>
          <w:lang w:val="nl-NL"/>
        </w:rPr>
        <w:t>consumenten</w:t>
      </w:r>
      <w:r w:rsidR="008814A0" w:rsidRPr="00981F09">
        <w:rPr>
          <w:rFonts w:cs="Arial"/>
          <w:szCs w:val="20"/>
          <w:lang w:val="nl-NL"/>
        </w:rPr>
        <w:t>prijs</w:t>
      </w:r>
      <w:r w:rsidR="008814A0">
        <w:rPr>
          <w:rFonts w:cs="Arial"/>
          <w:szCs w:val="20"/>
          <w:lang w:val="nl-NL"/>
        </w:rPr>
        <w:t xml:space="preserve"> index alle huishoudens</w:t>
      </w:r>
      <w:r w:rsidR="001B427C">
        <w:rPr>
          <w:rFonts w:cs="Arial"/>
          <w:szCs w:val="20"/>
          <w:lang w:val="nl-NL"/>
        </w:rPr>
        <w:t xml:space="preserve"> afgeleid</w:t>
      </w:r>
      <w:r w:rsidR="008814A0">
        <w:rPr>
          <w:rFonts w:cs="Arial"/>
          <w:szCs w:val="20"/>
          <w:lang w:val="nl-NL"/>
        </w:rPr>
        <w:t>, zoals gepubliceerd door het Centraal Bureau voor de Statistiek</w:t>
      </w:r>
      <w:r w:rsidR="008814A0" w:rsidRPr="00981F09">
        <w:rPr>
          <w:rFonts w:cs="Arial"/>
          <w:szCs w:val="20"/>
          <w:lang w:val="nl-NL"/>
        </w:rPr>
        <w:t xml:space="preserve">. </w:t>
      </w:r>
    </w:p>
    <w:p w14:paraId="5C057A23" w14:textId="77777777" w:rsidR="008814A0" w:rsidRDefault="008814A0" w:rsidP="008814A0">
      <w:pPr>
        <w:spacing w:line="280" w:lineRule="exact"/>
        <w:rPr>
          <w:rFonts w:cs="Arial"/>
          <w:b/>
          <w:i/>
          <w:szCs w:val="20"/>
          <w:lang w:val="nl-NL"/>
        </w:rPr>
      </w:pPr>
      <w:r>
        <w:rPr>
          <w:rFonts w:cs="Arial"/>
          <w:b/>
          <w:i/>
          <w:szCs w:val="20"/>
          <w:lang w:val="nl-NL"/>
        </w:rPr>
        <w:t>De doelstelling van het beleggingsbeleid</w:t>
      </w:r>
    </w:p>
    <w:p w14:paraId="592B86BA" w14:textId="77777777" w:rsidR="008814A0" w:rsidRPr="00B75FEF" w:rsidRDefault="008814A0" w:rsidP="008814A0">
      <w:pPr>
        <w:spacing w:line="280" w:lineRule="exact"/>
        <w:rPr>
          <w:rFonts w:cs="Arial"/>
          <w:szCs w:val="20"/>
          <w:lang w:val="nl-NL"/>
        </w:rPr>
      </w:pPr>
    </w:p>
    <w:p w14:paraId="75DC6AA1" w14:textId="0BC34250" w:rsidR="008814A0" w:rsidRPr="00B75FEF" w:rsidRDefault="008814A0" w:rsidP="008814A0">
      <w:pPr>
        <w:spacing w:line="280" w:lineRule="exact"/>
        <w:rPr>
          <w:rFonts w:cs="Arial"/>
          <w:szCs w:val="20"/>
          <w:lang w:val="nl-NL"/>
        </w:rPr>
      </w:pPr>
      <w:r w:rsidRPr="00675B59">
        <w:rPr>
          <w:rFonts w:cs="Arial"/>
          <w:szCs w:val="20"/>
          <w:lang w:val="nl-NL"/>
        </w:rPr>
        <w:t xml:space="preserve">De </w:t>
      </w:r>
      <w:r>
        <w:rPr>
          <w:rFonts w:cs="Arial"/>
          <w:szCs w:val="20"/>
          <w:lang w:val="nl-NL"/>
        </w:rPr>
        <w:t>pensioen</w:t>
      </w:r>
      <w:r w:rsidRPr="00675B59">
        <w:rPr>
          <w:lang w:val="nl-NL"/>
        </w:rPr>
        <w:t xml:space="preserve">premie wordt </w:t>
      </w:r>
      <w:r>
        <w:rPr>
          <w:lang w:val="nl-NL"/>
        </w:rPr>
        <w:t xml:space="preserve">op prudente wijze </w:t>
      </w:r>
      <w:r w:rsidRPr="00675B59">
        <w:rPr>
          <w:lang w:val="nl-NL"/>
        </w:rPr>
        <w:t xml:space="preserve">belegd. </w:t>
      </w:r>
      <w:r>
        <w:rPr>
          <w:lang w:val="nl-NL"/>
        </w:rPr>
        <w:t>Beleggingsr</w:t>
      </w:r>
      <w:r w:rsidRPr="00675B59">
        <w:rPr>
          <w:lang w:val="nl-NL"/>
        </w:rPr>
        <w:t xml:space="preserve">endement is nodig om </w:t>
      </w:r>
      <w:r>
        <w:rPr>
          <w:lang w:val="nl-NL"/>
        </w:rPr>
        <w:t xml:space="preserve">in de toekomst </w:t>
      </w:r>
      <w:r w:rsidRPr="00675B59">
        <w:rPr>
          <w:lang w:val="nl-NL"/>
        </w:rPr>
        <w:t>pensioen te kunnen uitkeren</w:t>
      </w:r>
      <w:r>
        <w:rPr>
          <w:lang w:val="nl-NL"/>
        </w:rPr>
        <w:t xml:space="preserve">, om pensioenvermogen te laten meegroeien met een stijging van de levensverwachting </w:t>
      </w:r>
      <w:r w:rsidRPr="00675B59">
        <w:rPr>
          <w:lang w:val="nl-NL"/>
        </w:rPr>
        <w:t xml:space="preserve">en ook om het </w:t>
      </w:r>
      <w:r>
        <w:rPr>
          <w:lang w:val="nl-NL"/>
        </w:rPr>
        <w:t xml:space="preserve">pensioen </w:t>
      </w:r>
      <w:r w:rsidRPr="00675B59">
        <w:rPr>
          <w:lang w:val="nl-NL"/>
        </w:rPr>
        <w:t>te kunnen verhogen met toeslagen. Toeslagen zijn belangr</w:t>
      </w:r>
      <w:r>
        <w:rPr>
          <w:lang w:val="nl-NL"/>
        </w:rPr>
        <w:t xml:space="preserve">ijk voor de koopkracht van </w:t>
      </w:r>
      <w:r w:rsidRPr="00675B59">
        <w:rPr>
          <w:lang w:val="nl-NL"/>
        </w:rPr>
        <w:t xml:space="preserve">pensioen bij inflatie. </w:t>
      </w:r>
      <w:r>
        <w:rPr>
          <w:lang w:val="nl-NL"/>
        </w:rPr>
        <w:t>Beleggen gaat altijd gepaard met risico’s en beleggingsr</w:t>
      </w:r>
      <w:r w:rsidRPr="00675B59">
        <w:rPr>
          <w:lang w:val="nl-NL"/>
        </w:rPr>
        <w:t>endement is onzeker</w:t>
      </w:r>
      <w:r>
        <w:rPr>
          <w:lang w:val="nl-NL"/>
        </w:rPr>
        <w:t xml:space="preserve"> en kan ook negatief zijn. </w:t>
      </w:r>
      <w:r w:rsidR="00DC508C">
        <w:rPr>
          <w:lang w:val="nl-NL"/>
        </w:rPr>
        <w:t>ING CDC Pensioenfonds</w:t>
      </w:r>
      <w:r>
        <w:rPr>
          <w:lang w:val="nl-NL"/>
        </w:rPr>
        <w:t xml:space="preserve"> streeft er in eerste instantie naar om de toegezegde nominale pensioenen zeker te stellen en in tweede instantie om gedeeltelijke of volledige toeslagverlening te realiseren. In de vaststelling van de mate waarin </w:t>
      </w:r>
      <w:r w:rsidR="001B2EC0">
        <w:rPr>
          <w:lang w:val="nl-NL"/>
        </w:rPr>
        <w:t>het fonds</w:t>
      </w:r>
      <w:r>
        <w:rPr>
          <w:lang w:val="nl-NL"/>
        </w:rPr>
        <w:t xml:space="preserve"> beleggingsrisico neemt, wordt rekening gehouden met de opdracht om het opgebouwde nominale pensioen zoveel mogelijk zeker te stellen en met de bandbreedte voor het risicobudget dat is overeengekomen door de sociale partners.</w:t>
      </w:r>
    </w:p>
    <w:p w14:paraId="23F39342" w14:textId="77777777" w:rsidR="008814A0" w:rsidRDefault="008814A0" w:rsidP="008814A0">
      <w:pPr>
        <w:spacing w:line="280" w:lineRule="exact"/>
        <w:rPr>
          <w:rFonts w:cs="Arial"/>
          <w:b/>
          <w:i/>
          <w:szCs w:val="20"/>
          <w:lang w:val="nl-NL"/>
        </w:rPr>
      </w:pPr>
    </w:p>
    <w:p w14:paraId="52650CB0" w14:textId="77777777" w:rsidR="008814A0" w:rsidRPr="00103B63" w:rsidRDefault="008814A0" w:rsidP="008814A0">
      <w:pPr>
        <w:spacing w:line="280" w:lineRule="exact"/>
        <w:rPr>
          <w:rFonts w:cs="Arial"/>
          <w:b/>
          <w:i/>
          <w:szCs w:val="20"/>
          <w:lang w:val="nl-NL"/>
        </w:rPr>
      </w:pPr>
      <w:r>
        <w:rPr>
          <w:rFonts w:cs="Arial"/>
          <w:b/>
          <w:i/>
          <w:szCs w:val="20"/>
          <w:lang w:val="nl-NL"/>
        </w:rPr>
        <w:t>De r</w:t>
      </w:r>
      <w:r w:rsidRPr="00103B63">
        <w:rPr>
          <w:rFonts w:cs="Arial"/>
          <w:b/>
          <w:i/>
          <w:szCs w:val="20"/>
          <w:lang w:val="nl-NL"/>
        </w:rPr>
        <w:t>isicohouding</w:t>
      </w:r>
      <w:r>
        <w:rPr>
          <w:rFonts w:cs="Arial"/>
          <w:b/>
          <w:i/>
          <w:szCs w:val="20"/>
          <w:lang w:val="nl-NL"/>
        </w:rPr>
        <w:br/>
      </w:r>
    </w:p>
    <w:p w14:paraId="09A4A13F" w14:textId="6E524C2A" w:rsidR="008814A0" w:rsidRDefault="00B65B81" w:rsidP="008814A0">
      <w:pPr>
        <w:spacing w:line="280" w:lineRule="exact"/>
        <w:rPr>
          <w:lang w:val="nl-NL"/>
        </w:rPr>
      </w:pPr>
      <w:r>
        <w:rPr>
          <w:lang w:val="nl-NL"/>
        </w:rPr>
        <w:t xml:space="preserve">ING CDC Pensioenfonds hanteert in zijn beleggingsbeleid risiconormeringen die in lijn zijn met de afspraken die de werkgever en de vakorganisaties met elkaar hebben gemaakt bij de CDC-pensioenregeling en die voldoen aan de wettelijke eisen voor pensioenfondsen. </w:t>
      </w:r>
      <w:r w:rsidR="008814A0">
        <w:rPr>
          <w:lang w:val="nl-NL"/>
        </w:rPr>
        <w:t>De begrenzing voor het strategisch beleggingsrisico op korte termijn (1 jaar) komt overeen met een in het (standaard-) risicomodel van De Nederlandse Bank berekende buffer-eis van 1</w:t>
      </w:r>
      <w:r w:rsidR="00163303">
        <w:rPr>
          <w:lang w:val="nl-NL"/>
        </w:rPr>
        <w:t>0</w:t>
      </w:r>
      <w:r w:rsidR="008814A0">
        <w:rPr>
          <w:lang w:val="nl-NL"/>
        </w:rPr>
        <w:t>% tot 2</w:t>
      </w:r>
      <w:r w:rsidR="006174A6">
        <w:rPr>
          <w:lang w:val="nl-NL"/>
        </w:rPr>
        <w:t>3</w:t>
      </w:r>
      <w:r w:rsidR="008814A0">
        <w:rPr>
          <w:lang w:val="nl-NL"/>
        </w:rPr>
        <w:t xml:space="preserve">%. Naarmate een pensioenfonds risicovoller belegt, stelt De Nederlandsche Bank hogere eisen aan de aan te houden buffers. Het niveau van de wettelijk voorgeschreven buffers is daarmee een afspiegeling van de mate waarin een pensioenfonds beleggingsrisico neemt. </w:t>
      </w:r>
    </w:p>
    <w:p w14:paraId="0BCA912E" w14:textId="77777777" w:rsidR="008814A0" w:rsidRDefault="008814A0" w:rsidP="008814A0">
      <w:pPr>
        <w:spacing w:line="280" w:lineRule="exact"/>
        <w:rPr>
          <w:lang w:val="nl-NL"/>
        </w:rPr>
      </w:pPr>
    </w:p>
    <w:p w14:paraId="75305A63" w14:textId="77777777" w:rsidR="008814A0" w:rsidRDefault="008814A0" w:rsidP="008814A0">
      <w:pPr>
        <w:spacing w:line="280" w:lineRule="exact"/>
        <w:rPr>
          <w:lang w:val="nl-NL"/>
        </w:rPr>
      </w:pPr>
      <w:r>
        <w:rPr>
          <w:lang w:val="nl-NL"/>
        </w:rPr>
        <w:t xml:space="preserve">In aanvulling op deze risiconorm voor het strategisch beleggingsbeleid, hanteert </w:t>
      </w:r>
      <w:r w:rsidR="00DC508C">
        <w:rPr>
          <w:lang w:val="nl-NL"/>
        </w:rPr>
        <w:t>ING CDC Pensioenfonds</w:t>
      </w:r>
      <w:r>
        <w:rPr>
          <w:lang w:val="nl-NL"/>
        </w:rPr>
        <w:t xml:space="preserve"> aanvullende risicolimieten. Deze komen met name tot uitdrukking in:</w:t>
      </w:r>
    </w:p>
    <w:p w14:paraId="5B088F82" w14:textId="77777777" w:rsidR="008814A0" w:rsidRDefault="003B79B2" w:rsidP="001E699B">
      <w:pPr>
        <w:pStyle w:val="Lijstalinea"/>
        <w:widowControl w:val="0"/>
        <w:numPr>
          <w:ilvl w:val="0"/>
          <w:numId w:val="34"/>
        </w:numPr>
        <w:spacing w:before="0" w:after="0" w:line="280" w:lineRule="exact"/>
        <w:rPr>
          <w:lang w:val="nl-NL"/>
        </w:rPr>
      </w:pPr>
      <w:r>
        <w:rPr>
          <w:lang w:val="nl-NL"/>
        </w:rPr>
        <w:t>D</w:t>
      </w:r>
      <w:r w:rsidR="008814A0" w:rsidRPr="00D765BA">
        <w:rPr>
          <w:lang w:val="nl-NL"/>
        </w:rPr>
        <w:t>e maximaal toegestane wegingen voor beleggingen in aandelen en in onroerend goed</w:t>
      </w:r>
      <w:r>
        <w:rPr>
          <w:lang w:val="nl-NL"/>
        </w:rPr>
        <w:t>.</w:t>
      </w:r>
    </w:p>
    <w:p w14:paraId="72765EB1" w14:textId="77777777" w:rsidR="008814A0" w:rsidRDefault="003B79B2" w:rsidP="001E699B">
      <w:pPr>
        <w:pStyle w:val="Lijstalinea"/>
        <w:widowControl w:val="0"/>
        <w:numPr>
          <w:ilvl w:val="0"/>
          <w:numId w:val="34"/>
        </w:numPr>
        <w:spacing w:before="0" w:after="0" w:line="280" w:lineRule="exact"/>
        <w:rPr>
          <w:lang w:val="nl-NL"/>
        </w:rPr>
      </w:pPr>
      <w:r>
        <w:rPr>
          <w:lang w:val="nl-NL"/>
        </w:rPr>
        <w:t>D</w:t>
      </w:r>
      <w:r w:rsidR="008814A0" w:rsidRPr="00D765BA">
        <w:rPr>
          <w:lang w:val="nl-NL"/>
        </w:rPr>
        <w:t>e minimaal vereiste kredietwaardigheid van de obligatiebeleggingen</w:t>
      </w:r>
      <w:r>
        <w:rPr>
          <w:lang w:val="nl-NL"/>
        </w:rPr>
        <w:t>.</w:t>
      </w:r>
    </w:p>
    <w:p w14:paraId="421B9ECB" w14:textId="77777777" w:rsidR="008814A0" w:rsidRDefault="003B79B2" w:rsidP="001E699B">
      <w:pPr>
        <w:pStyle w:val="Lijstalinea"/>
        <w:widowControl w:val="0"/>
        <w:numPr>
          <w:ilvl w:val="0"/>
          <w:numId w:val="34"/>
        </w:numPr>
        <w:spacing w:before="0" w:after="0" w:line="280" w:lineRule="exact"/>
        <w:rPr>
          <w:lang w:val="nl-NL"/>
        </w:rPr>
      </w:pPr>
      <w:r>
        <w:rPr>
          <w:lang w:val="nl-NL"/>
        </w:rPr>
        <w:t>D</w:t>
      </w:r>
      <w:r w:rsidR="008814A0" w:rsidRPr="00D765BA">
        <w:rPr>
          <w:lang w:val="nl-NL"/>
        </w:rPr>
        <w:t>e vereiste spreiding van de beleggingen</w:t>
      </w:r>
      <w:r>
        <w:rPr>
          <w:lang w:val="nl-NL"/>
        </w:rPr>
        <w:t>.</w:t>
      </w:r>
      <w:r w:rsidR="008814A0" w:rsidRPr="00D765BA">
        <w:rPr>
          <w:lang w:val="nl-NL"/>
        </w:rPr>
        <w:t xml:space="preserve"> </w:t>
      </w:r>
    </w:p>
    <w:p w14:paraId="38A79A34" w14:textId="61F5EDEB" w:rsidR="008814A0" w:rsidRDefault="003B79B2" w:rsidP="001E699B">
      <w:pPr>
        <w:pStyle w:val="Lijstalinea"/>
        <w:widowControl w:val="0"/>
        <w:numPr>
          <w:ilvl w:val="0"/>
          <w:numId w:val="34"/>
        </w:numPr>
        <w:spacing w:before="0" w:after="0" w:line="280" w:lineRule="exact"/>
        <w:rPr>
          <w:lang w:val="nl-NL"/>
        </w:rPr>
      </w:pPr>
      <w:r>
        <w:rPr>
          <w:lang w:val="nl-NL"/>
        </w:rPr>
        <w:t>D</w:t>
      </w:r>
      <w:r w:rsidR="008814A0" w:rsidRPr="00D765BA">
        <w:rPr>
          <w:lang w:val="nl-NL"/>
        </w:rPr>
        <w:t xml:space="preserve">e minimaal vereiste </w:t>
      </w:r>
      <w:r w:rsidR="008814A0">
        <w:rPr>
          <w:lang w:val="nl-NL"/>
        </w:rPr>
        <w:t xml:space="preserve">omvang </w:t>
      </w:r>
      <w:r w:rsidR="008814A0" w:rsidRPr="00D765BA">
        <w:rPr>
          <w:lang w:val="nl-NL"/>
        </w:rPr>
        <w:t>van afdekking van het renterisico en het valutarisico</w:t>
      </w:r>
      <w:r w:rsidR="006B7705">
        <w:rPr>
          <w:lang w:val="nl-NL"/>
        </w:rPr>
        <w:t xml:space="preserve"> </w:t>
      </w:r>
    </w:p>
    <w:p w14:paraId="10D3892C" w14:textId="175FFAAD" w:rsidR="008814A0" w:rsidRPr="00641F24" w:rsidRDefault="003B79B2" w:rsidP="001E699B">
      <w:pPr>
        <w:pStyle w:val="Lijstalinea"/>
        <w:widowControl w:val="0"/>
        <w:numPr>
          <w:ilvl w:val="0"/>
          <w:numId w:val="34"/>
        </w:numPr>
        <w:spacing w:before="0" w:after="0" w:line="280" w:lineRule="exact"/>
        <w:rPr>
          <w:lang w:val="nl-NL"/>
        </w:rPr>
      </w:pPr>
      <w:r>
        <w:rPr>
          <w:lang w:val="nl-NL"/>
        </w:rPr>
        <w:t>D</w:t>
      </w:r>
      <w:r w:rsidR="008814A0">
        <w:rPr>
          <w:lang w:val="nl-NL"/>
        </w:rPr>
        <w:t xml:space="preserve">e minimaal vereiste kredietwaardigheid van tegenpartijen waarmee </w:t>
      </w:r>
      <w:r w:rsidR="001B2EC0">
        <w:rPr>
          <w:lang w:val="nl-NL"/>
        </w:rPr>
        <w:t>het fonds</w:t>
      </w:r>
      <w:r w:rsidR="008814A0">
        <w:rPr>
          <w:lang w:val="nl-NL"/>
        </w:rPr>
        <w:t xml:space="preserve"> bancaire transacties aangaat</w:t>
      </w:r>
      <w:r w:rsidR="00A51A3A">
        <w:rPr>
          <w:lang w:val="nl-NL"/>
        </w:rPr>
        <w:t>,</w:t>
      </w:r>
      <w:r w:rsidR="002D5834">
        <w:rPr>
          <w:lang w:val="nl-NL"/>
        </w:rPr>
        <w:t xml:space="preserve"> custodian</w:t>
      </w:r>
      <w:r w:rsidR="000C00C6">
        <w:rPr>
          <w:lang w:val="nl-NL"/>
        </w:rPr>
        <w:t>-</w:t>
      </w:r>
      <w:r w:rsidR="002D5834">
        <w:rPr>
          <w:lang w:val="nl-NL"/>
        </w:rPr>
        <w:t>diensten afneemt</w:t>
      </w:r>
      <w:r w:rsidR="00A51A3A">
        <w:rPr>
          <w:lang w:val="nl-NL"/>
        </w:rPr>
        <w:t xml:space="preserve"> en de clearing member(s) in geval van geclearde derivatentransacties.</w:t>
      </w:r>
    </w:p>
    <w:p w14:paraId="1E420D04" w14:textId="77777777" w:rsidR="008814A0" w:rsidRPr="00D765BA" w:rsidRDefault="003B79B2" w:rsidP="001E699B">
      <w:pPr>
        <w:pStyle w:val="Lijstalinea"/>
        <w:widowControl w:val="0"/>
        <w:numPr>
          <w:ilvl w:val="0"/>
          <w:numId w:val="34"/>
        </w:numPr>
        <w:spacing w:before="0" w:after="0" w:line="280" w:lineRule="exact"/>
        <w:rPr>
          <w:lang w:val="nl-NL"/>
        </w:rPr>
      </w:pPr>
      <w:r>
        <w:rPr>
          <w:lang w:val="nl-NL"/>
        </w:rPr>
        <w:t>D</w:t>
      </w:r>
      <w:r w:rsidR="008814A0">
        <w:rPr>
          <w:lang w:val="nl-NL"/>
        </w:rPr>
        <w:t xml:space="preserve">e eisen die worden gesteld aan onderpand bij derivatentransacties. </w:t>
      </w:r>
    </w:p>
    <w:p w14:paraId="66FA167C" w14:textId="77777777" w:rsidR="008814A0" w:rsidRDefault="008814A0" w:rsidP="008814A0">
      <w:pPr>
        <w:spacing w:line="280" w:lineRule="exact"/>
        <w:rPr>
          <w:lang w:val="nl-NL"/>
        </w:rPr>
      </w:pPr>
    </w:p>
    <w:p w14:paraId="4D823E83" w14:textId="0AF857B6" w:rsidR="00DC2623" w:rsidRDefault="008814A0" w:rsidP="00DC2623">
      <w:pPr>
        <w:pStyle w:val="Normaalweb"/>
        <w:rPr>
          <w:rFonts w:asciiTheme="minorHAnsi" w:eastAsiaTheme="minorHAnsi" w:hAnsiTheme="minorHAnsi" w:cstheme="minorBidi"/>
          <w:sz w:val="20"/>
          <w:szCs w:val="22"/>
          <w:lang w:eastAsia="en-US"/>
        </w:rPr>
      </w:pPr>
      <w:r w:rsidRPr="001A4CB4">
        <w:rPr>
          <w:rFonts w:asciiTheme="minorHAnsi" w:eastAsiaTheme="minorHAnsi" w:hAnsiTheme="minorHAnsi" w:cstheme="minorBidi"/>
          <w:sz w:val="20"/>
          <w:szCs w:val="22"/>
          <w:lang w:eastAsia="en-US"/>
        </w:rPr>
        <w:t xml:space="preserve">Bij de bepaling van deze risicolimieten houdt </w:t>
      </w:r>
      <w:r w:rsidR="00DC508C" w:rsidRPr="001A4CB4">
        <w:rPr>
          <w:rFonts w:asciiTheme="minorHAnsi" w:eastAsiaTheme="minorHAnsi" w:hAnsiTheme="minorHAnsi" w:cstheme="minorBidi"/>
          <w:sz w:val="20"/>
          <w:szCs w:val="22"/>
          <w:lang w:eastAsia="en-US"/>
        </w:rPr>
        <w:t>ING CDC Pensioenfonds</w:t>
      </w:r>
      <w:r w:rsidRPr="001A4CB4">
        <w:rPr>
          <w:rFonts w:asciiTheme="minorHAnsi" w:eastAsiaTheme="minorHAnsi" w:hAnsiTheme="minorHAnsi" w:cstheme="minorBidi"/>
          <w:sz w:val="20"/>
          <w:szCs w:val="22"/>
          <w:lang w:eastAsia="en-US"/>
        </w:rPr>
        <w:t xml:space="preserve"> rekening met het gegeven dat het fonds</w:t>
      </w:r>
      <w:r w:rsidR="00273C63" w:rsidRPr="001A4CB4">
        <w:rPr>
          <w:rFonts w:asciiTheme="minorHAnsi" w:eastAsiaTheme="minorHAnsi" w:hAnsiTheme="minorHAnsi" w:cstheme="minorBidi"/>
          <w:sz w:val="20"/>
          <w:szCs w:val="22"/>
          <w:lang w:eastAsia="en-US"/>
        </w:rPr>
        <w:t xml:space="preserve"> </w:t>
      </w:r>
      <w:r w:rsidRPr="001A4CB4">
        <w:rPr>
          <w:rFonts w:asciiTheme="minorHAnsi" w:eastAsiaTheme="minorHAnsi" w:hAnsiTheme="minorHAnsi" w:cstheme="minorBidi"/>
          <w:sz w:val="20"/>
          <w:szCs w:val="22"/>
          <w:lang w:eastAsia="en-US"/>
        </w:rPr>
        <w:t xml:space="preserve">een lange (termijn) beleggingshorizon moet hanteren. </w:t>
      </w:r>
    </w:p>
    <w:p w14:paraId="427D6B68" w14:textId="77777777" w:rsidR="00DC2623" w:rsidRDefault="008814A0" w:rsidP="008814A0">
      <w:pPr>
        <w:spacing w:line="280" w:lineRule="exact"/>
        <w:rPr>
          <w:lang w:val="nl-NL"/>
        </w:rPr>
      </w:pPr>
      <w:r>
        <w:rPr>
          <w:lang w:val="nl-NL"/>
        </w:rPr>
        <w:t xml:space="preserve">Met scenario-analyses en stress testen wordt beoordeeld dat </w:t>
      </w:r>
      <w:r w:rsidR="001B2EC0">
        <w:rPr>
          <w:lang w:val="nl-NL"/>
        </w:rPr>
        <w:t>het fonds</w:t>
      </w:r>
      <w:r>
        <w:rPr>
          <w:lang w:val="nl-NL"/>
        </w:rPr>
        <w:t xml:space="preserve"> bij het gevoerde beleggingsbeleid een geringe kans loopt dat beleggingsverliezen worden geleden die dermate omvangrijk en langdurig zijn, dat </w:t>
      </w:r>
      <w:r w:rsidR="001B2EC0">
        <w:rPr>
          <w:lang w:val="nl-NL"/>
        </w:rPr>
        <w:t>het fonds</w:t>
      </w:r>
      <w:r>
        <w:rPr>
          <w:lang w:val="nl-NL"/>
        </w:rPr>
        <w:t xml:space="preserve"> gedwongen kan zijn om opgebouwde pensioenaanspraken en ingegane pensioenen te verminderen. Deze analyses worden regelmatig uitgevoerd met zowel een lange termijn beleggingshorizon (10 jaren) en ook een korte termijn horizon (1 jaar). De horizon van 10 jaar is in overeenstemming met de gehanteerde termijn voor pensioenfondsen om te herstellen van een eventueel reservetekort. Op deze wijze wordt de risicohouding die ten grondslag ligt aan het beleggingsbeleid ingevuld conform het voor pensioenfondsen geldende financiële toetsingskader. Bij de bepaling van de normen voor de afdekking van renterisico wordt zowel de door DNB voorgeschreven rente als ook de feitelijk in de markt waargenomen rente in aanmerking genomen.</w:t>
      </w:r>
    </w:p>
    <w:p w14:paraId="632C900F" w14:textId="686FACBF" w:rsidR="00DF3D36" w:rsidRDefault="00DC2623" w:rsidP="00DF3D36">
      <w:pPr>
        <w:pStyle w:val="Normaalweb"/>
        <w:rPr>
          <w:rFonts w:asciiTheme="minorHAnsi" w:eastAsiaTheme="minorHAnsi" w:hAnsiTheme="minorHAnsi" w:cstheme="minorBidi"/>
          <w:sz w:val="20"/>
          <w:szCs w:val="22"/>
          <w:lang w:eastAsia="en-US"/>
        </w:rPr>
      </w:pPr>
      <w:r>
        <w:rPr>
          <w:rFonts w:asciiTheme="minorHAnsi" w:eastAsiaTheme="minorHAnsi" w:hAnsiTheme="minorHAnsi" w:cstheme="minorBidi"/>
          <w:sz w:val="20"/>
          <w:szCs w:val="22"/>
          <w:lang w:eastAsia="en-US"/>
        </w:rPr>
        <w:t xml:space="preserve">ING CDC Pensioenfonds houdt ook rekening met het gegeven dat zich duurzaamheidsrisico’s kunnen voordoen. </w:t>
      </w:r>
      <w:r w:rsidR="00DF3D36" w:rsidRPr="00BC7B53">
        <w:rPr>
          <w:rFonts w:asciiTheme="minorHAnsi" w:eastAsiaTheme="minorHAnsi" w:hAnsiTheme="minorHAnsi" w:cstheme="minorBidi"/>
          <w:sz w:val="20"/>
          <w:szCs w:val="22"/>
          <w:lang w:eastAsia="en-US"/>
        </w:rPr>
        <w:t xml:space="preserve">Als </w:t>
      </w:r>
      <w:r w:rsidR="00DF3D36">
        <w:rPr>
          <w:rFonts w:asciiTheme="minorHAnsi" w:eastAsiaTheme="minorHAnsi" w:hAnsiTheme="minorHAnsi" w:cstheme="minorBidi"/>
          <w:sz w:val="20"/>
          <w:szCs w:val="22"/>
          <w:lang w:eastAsia="en-US"/>
        </w:rPr>
        <w:t>bij een voorgenomen beleggingsbeslissing</w:t>
      </w:r>
      <w:r w:rsidR="002C6217">
        <w:rPr>
          <w:rFonts w:asciiTheme="minorHAnsi" w:eastAsiaTheme="minorHAnsi" w:hAnsiTheme="minorHAnsi" w:cstheme="minorBidi"/>
          <w:sz w:val="20"/>
          <w:szCs w:val="22"/>
          <w:lang w:eastAsia="en-US"/>
        </w:rPr>
        <w:t xml:space="preserve">, </w:t>
      </w:r>
      <w:r w:rsidR="00DF3D36">
        <w:rPr>
          <w:rFonts w:asciiTheme="minorHAnsi" w:eastAsiaTheme="minorHAnsi" w:hAnsiTheme="minorHAnsi" w:cstheme="minorBidi"/>
          <w:sz w:val="20"/>
          <w:szCs w:val="22"/>
          <w:lang w:eastAsia="en-US"/>
        </w:rPr>
        <w:t>of uit de periodieke monitoring</w:t>
      </w:r>
      <w:r w:rsidR="002C6217">
        <w:rPr>
          <w:rFonts w:asciiTheme="minorHAnsi" w:eastAsiaTheme="minorHAnsi" w:hAnsiTheme="minorHAnsi" w:cstheme="minorBidi"/>
          <w:sz w:val="20"/>
          <w:szCs w:val="22"/>
          <w:lang w:eastAsia="en-US"/>
        </w:rPr>
        <w:t xml:space="preserve">, op basis van kwalitatieve informatie </w:t>
      </w:r>
      <w:r w:rsidR="00DF3D36">
        <w:rPr>
          <w:rFonts w:asciiTheme="minorHAnsi" w:eastAsiaTheme="minorHAnsi" w:hAnsiTheme="minorHAnsi" w:cstheme="minorBidi"/>
          <w:sz w:val="20"/>
          <w:szCs w:val="22"/>
          <w:lang w:eastAsia="en-US"/>
        </w:rPr>
        <w:t xml:space="preserve">blijkt dat een duurzaamheidsrisico zich voordoet of de kans daarop groot is (geworden), zal </w:t>
      </w:r>
      <w:r w:rsidR="00DF3D36" w:rsidRPr="00BC7B53">
        <w:rPr>
          <w:rFonts w:asciiTheme="minorHAnsi" w:eastAsiaTheme="minorHAnsi" w:hAnsiTheme="minorHAnsi" w:cstheme="minorBidi"/>
          <w:sz w:val="20"/>
          <w:szCs w:val="22"/>
          <w:lang w:eastAsia="en-US"/>
        </w:rPr>
        <w:t>ING CDC Pensioenfonds</w:t>
      </w:r>
      <w:r w:rsidR="00175B74">
        <w:rPr>
          <w:rFonts w:asciiTheme="minorHAnsi" w:eastAsiaTheme="minorHAnsi" w:hAnsiTheme="minorHAnsi" w:cstheme="minorBidi"/>
          <w:sz w:val="20"/>
          <w:szCs w:val="22"/>
          <w:lang w:eastAsia="en-US"/>
        </w:rPr>
        <w:t>, indien mogelijk,</w:t>
      </w:r>
      <w:r w:rsidR="00DF3D36" w:rsidRPr="00BC7B53">
        <w:rPr>
          <w:rFonts w:asciiTheme="minorHAnsi" w:eastAsiaTheme="minorHAnsi" w:hAnsiTheme="minorHAnsi" w:cstheme="minorBidi"/>
          <w:sz w:val="20"/>
          <w:szCs w:val="22"/>
          <w:lang w:eastAsia="en-US"/>
        </w:rPr>
        <w:t xml:space="preserve"> </w:t>
      </w:r>
      <w:r w:rsidR="00DF3D36">
        <w:rPr>
          <w:rFonts w:asciiTheme="minorHAnsi" w:eastAsiaTheme="minorHAnsi" w:hAnsiTheme="minorHAnsi" w:cstheme="minorBidi"/>
          <w:sz w:val="20"/>
          <w:szCs w:val="22"/>
          <w:lang w:eastAsia="en-US"/>
        </w:rPr>
        <w:t xml:space="preserve">deze belegging verkopen en vervangen door </w:t>
      </w:r>
      <w:r w:rsidR="005154B9">
        <w:rPr>
          <w:rFonts w:asciiTheme="minorHAnsi" w:eastAsiaTheme="minorHAnsi" w:hAnsiTheme="minorHAnsi" w:cstheme="minorBidi"/>
          <w:sz w:val="20"/>
          <w:szCs w:val="22"/>
          <w:lang w:eastAsia="en-US"/>
        </w:rPr>
        <w:t xml:space="preserve">een </w:t>
      </w:r>
      <w:r w:rsidR="00DF3D36">
        <w:rPr>
          <w:rFonts w:asciiTheme="minorHAnsi" w:eastAsiaTheme="minorHAnsi" w:hAnsiTheme="minorHAnsi" w:cstheme="minorBidi"/>
          <w:sz w:val="20"/>
          <w:szCs w:val="22"/>
          <w:lang w:eastAsia="en-US"/>
        </w:rPr>
        <w:t xml:space="preserve">belegging met geen of lage duurzaamheidsrisico’s ter afdekking van (ontstane) duurzaamheidsrisico’s daaronder begrepen het risico op </w:t>
      </w:r>
      <w:r w:rsidR="00DF3D36" w:rsidRPr="008C783B">
        <w:rPr>
          <w:rFonts w:asciiTheme="minorHAnsi" w:eastAsiaTheme="minorHAnsi" w:hAnsiTheme="minorHAnsi" w:cstheme="minorBidi"/>
          <w:sz w:val="20"/>
          <w:szCs w:val="22"/>
          <w:lang w:eastAsia="en-US"/>
        </w:rPr>
        <w:t>stranded assets</w:t>
      </w:r>
      <w:r w:rsidR="00DF3D36">
        <w:rPr>
          <w:rFonts w:asciiTheme="minorHAnsi" w:eastAsiaTheme="minorHAnsi" w:hAnsiTheme="minorHAnsi" w:cstheme="minorBidi"/>
          <w:sz w:val="20"/>
          <w:szCs w:val="22"/>
          <w:lang w:eastAsia="en-US"/>
        </w:rPr>
        <w:t>.</w:t>
      </w:r>
    </w:p>
    <w:p w14:paraId="233D908E" w14:textId="6EEEB9C5" w:rsidR="008814A0" w:rsidRPr="00C936CB" w:rsidRDefault="008814A0" w:rsidP="008814A0">
      <w:pPr>
        <w:spacing w:line="280" w:lineRule="exact"/>
        <w:rPr>
          <w:rFonts w:cs="Arial"/>
          <w:b/>
          <w:i/>
          <w:szCs w:val="20"/>
          <w:lang w:val="nl-NL"/>
        </w:rPr>
      </w:pPr>
      <w:r>
        <w:rPr>
          <w:lang w:val="nl-NL"/>
        </w:rPr>
        <w:lastRenderedPageBreak/>
        <w:br/>
      </w:r>
      <w:r>
        <w:rPr>
          <w:lang w:val="nl-NL"/>
        </w:rPr>
        <w:br/>
      </w:r>
      <w:r>
        <w:rPr>
          <w:rFonts w:cs="Arial"/>
          <w:b/>
          <w:i/>
          <w:szCs w:val="20"/>
          <w:lang w:val="nl-NL"/>
        </w:rPr>
        <w:t>Het risicoprofiel</w:t>
      </w:r>
    </w:p>
    <w:p w14:paraId="0BDF5495" w14:textId="77777777" w:rsidR="008814A0" w:rsidRDefault="008814A0" w:rsidP="008814A0">
      <w:pPr>
        <w:spacing w:line="280" w:lineRule="exact"/>
        <w:rPr>
          <w:rFonts w:cs="Arial"/>
          <w:szCs w:val="20"/>
          <w:lang w:val="nl-NL"/>
        </w:rPr>
      </w:pPr>
    </w:p>
    <w:p w14:paraId="11BC8610" w14:textId="77777777" w:rsidR="008814A0" w:rsidRDefault="008814A0" w:rsidP="008814A0">
      <w:pPr>
        <w:spacing w:line="280" w:lineRule="exact"/>
        <w:rPr>
          <w:rFonts w:cs="Arial"/>
          <w:szCs w:val="20"/>
          <w:lang w:val="nl-NL"/>
        </w:rPr>
      </w:pPr>
      <w:r>
        <w:rPr>
          <w:rFonts w:cs="Arial"/>
          <w:szCs w:val="20"/>
          <w:lang w:val="nl-NL"/>
        </w:rPr>
        <w:t xml:space="preserve">Het risicoprofiel van </w:t>
      </w:r>
      <w:r w:rsidR="00DC508C">
        <w:rPr>
          <w:lang w:val="nl-NL"/>
        </w:rPr>
        <w:t>ING CDC Pensioenfonds</w:t>
      </w:r>
      <w:r>
        <w:rPr>
          <w:rFonts w:cs="Arial"/>
          <w:szCs w:val="20"/>
          <w:lang w:val="nl-NL"/>
        </w:rPr>
        <w:t xml:space="preserve"> kan worden samengevat als:</w:t>
      </w:r>
    </w:p>
    <w:p w14:paraId="086FD48E" w14:textId="006E6650" w:rsidR="008814A0" w:rsidRDefault="008814A0" w:rsidP="001E699B">
      <w:pPr>
        <w:pStyle w:val="Lijstalinea"/>
        <w:widowControl w:val="0"/>
        <w:numPr>
          <w:ilvl w:val="0"/>
          <w:numId w:val="32"/>
        </w:numPr>
        <w:spacing w:before="0" w:after="0" w:line="280" w:lineRule="exact"/>
        <w:rPr>
          <w:rFonts w:cs="Arial"/>
          <w:szCs w:val="20"/>
          <w:lang w:val="nl-NL"/>
        </w:rPr>
      </w:pPr>
      <w:r>
        <w:rPr>
          <w:rFonts w:cs="Arial"/>
          <w:szCs w:val="20"/>
          <w:lang w:val="nl-NL"/>
        </w:rPr>
        <w:t xml:space="preserve">De pensioenverplichtingen van </w:t>
      </w:r>
      <w:r w:rsidR="001B2EC0">
        <w:rPr>
          <w:rFonts w:cs="Arial"/>
          <w:szCs w:val="20"/>
          <w:lang w:val="nl-NL"/>
        </w:rPr>
        <w:t>het fonds</w:t>
      </w:r>
      <w:r>
        <w:rPr>
          <w:rFonts w:cs="Arial"/>
          <w:szCs w:val="20"/>
          <w:lang w:val="nl-NL"/>
        </w:rPr>
        <w:t xml:space="preserve"> hebben (gemiddeld) een zeer lange looptijd. Dit betekent dat het fonds een op lange termijn gericht beleggingsbeleid moet voeren en in zijn rente-afdekking met deze (gemiddeld) zeer lange looptijd van de verplichtingen rekening moet houden.</w:t>
      </w:r>
    </w:p>
    <w:p w14:paraId="5C9EDE9F" w14:textId="7BBC6AFF" w:rsidR="008814A0" w:rsidRDefault="007B40A0" w:rsidP="001E699B">
      <w:pPr>
        <w:pStyle w:val="Lijstalinea"/>
        <w:widowControl w:val="0"/>
        <w:numPr>
          <w:ilvl w:val="0"/>
          <w:numId w:val="32"/>
        </w:numPr>
        <w:spacing w:before="0" w:after="0" w:line="280" w:lineRule="exact"/>
        <w:rPr>
          <w:rFonts w:cs="Arial"/>
          <w:szCs w:val="20"/>
          <w:lang w:val="nl-NL"/>
        </w:rPr>
      </w:pPr>
      <w:r>
        <w:rPr>
          <w:rFonts w:cs="Arial"/>
          <w:szCs w:val="20"/>
          <w:lang w:val="nl-NL"/>
        </w:rPr>
        <w:t>H</w:t>
      </w:r>
      <w:r w:rsidR="001B2EC0">
        <w:rPr>
          <w:rFonts w:cs="Arial"/>
          <w:szCs w:val="20"/>
          <w:lang w:val="nl-NL"/>
        </w:rPr>
        <w:t>et fonds</w:t>
      </w:r>
      <w:r w:rsidR="008814A0">
        <w:rPr>
          <w:rFonts w:cs="Arial"/>
          <w:szCs w:val="20"/>
          <w:lang w:val="nl-NL"/>
        </w:rPr>
        <w:t xml:space="preserve"> heeft een begrenzing in zijn risicobudget aangebracht om de zekerheid van de opgebouwde pensioenen op het voorgeschreven niveau te houden: dit risicobudget wordt evenwichtig gespreid ingezet over de belangrijkste risicobronnen (aandelen, vastgoed, obligaties, rente- en valutarisico).</w:t>
      </w:r>
    </w:p>
    <w:p w14:paraId="16696258" w14:textId="63EE84EF" w:rsidR="00B65B81" w:rsidRDefault="00B65B81" w:rsidP="001E699B">
      <w:pPr>
        <w:pStyle w:val="Lijstalinea"/>
        <w:widowControl w:val="0"/>
        <w:numPr>
          <w:ilvl w:val="0"/>
          <w:numId w:val="32"/>
        </w:numPr>
        <w:spacing w:before="0" w:after="0" w:line="280" w:lineRule="exact"/>
        <w:rPr>
          <w:rFonts w:cs="Arial"/>
          <w:szCs w:val="20"/>
          <w:lang w:val="nl-NL"/>
        </w:rPr>
      </w:pPr>
      <w:r>
        <w:rPr>
          <w:rFonts w:cs="Arial"/>
          <w:szCs w:val="20"/>
          <w:lang w:val="nl-NL"/>
        </w:rPr>
        <w:t>Het fonds ontvangt van de werkgever en van de werknemers jaarlijks een vaste premie.</w:t>
      </w:r>
    </w:p>
    <w:p w14:paraId="1039B06D" w14:textId="77777777" w:rsidR="008814A0" w:rsidRPr="00AA2842" w:rsidRDefault="008814A0" w:rsidP="003B79B2">
      <w:pPr>
        <w:pStyle w:val="Lijstalinea"/>
        <w:numPr>
          <w:ilvl w:val="0"/>
          <w:numId w:val="0"/>
        </w:numPr>
        <w:spacing w:line="280" w:lineRule="exact"/>
        <w:ind w:left="360"/>
        <w:rPr>
          <w:rFonts w:cs="Arial"/>
          <w:szCs w:val="20"/>
          <w:lang w:val="nl-NL"/>
        </w:rPr>
      </w:pPr>
    </w:p>
    <w:p w14:paraId="10320EF5" w14:textId="77777777" w:rsidR="008814A0" w:rsidRPr="00C70496" w:rsidRDefault="008814A0" w:rsidP="008814A0">
      <w:pPr>
        <w:spacing w:line="280" w:lineRule="exact"/>
        <w:rPr>
          <w:rFonts w:cs="Arial"/>
          <w:b/>
          <w:sz w:val="24"/>
          <w:szCs w:val="24"/>
          <w:lang w:val="nl-NL"/>
        </w:rPr>
      </w:pPr>
      <w:r w:rsidRPr="00C70496">
        <w:rPr>
          <w:rFonts w:cs="Arial"/>
          <w:b/>
          <w:sz w:val="24"/>
          <w:szCs w:val="24"/>
          <w:lang w:val="nl-NL"/>
        </w:rPr>
        <w:t xml:space="preserve">Het strategisch beleggingsbeleid van </w:t>
      </w:r>
      <w:r w:rsidR="007B40A0">
        <w:rPr>
          <w:rFonts w:cs="Arial"/>
          <w:b/>
          <w:sz w:val="24"/>
          <w:szCs w:val="24"/>
          <w:lang w:val="nl-NL"/>
        </w:rPr>
        <w:t>ING CDC Pensioenfonds</w:t>
      </w:r>
    </w:p>
    <w:p w14:paraId="6B7479CF" w14:textId="77777777" w:rsidR="008814A0" w:rsidRDefault="008814A0" w:rsidP="008814A0">
      <w:pPr>
        <w:spacing w:line="280" w:lineRule="exact"/>
        <w:rPr>
          <w:rFonts w:cs="Arial"/>
          <w:szCs w:val="20"/>
          <w:lang w:val="nl-NL"/>
        </w:rPr>
      </w:pPr>
    </w:p>
    <w:p w14:paraId="6E71EBDD" w14:textId="0D26D6AF" w:rsidR="008814A0" w:rsidRPr="00845DF3" w:rsidRDefault="008814A0" w:rsidP="00845DF3">
      <w:pPr>
        <w:spacing w:line="280" w:lineRule="exact"/>
        <w:rPr>
          <w:rFonts w:cs="Arial"/>
          <w:szCs w:val="20"/>
          <w:lang w:val="nl-NL"/>
        </w:rPr>
      </w:pPr>
      <w:r w:rsidRPr="00845DF3">
        <w:rPr>
          <w:rFonts w:cs="Arial"/>
          <w:szCs w:val="20"/>
          <w:lang w:val="nl-NL"/>
        </w:rPr>
        <w:t xml:space="preserve">Het beleggingsbeleid van </w:t>
      </w:r>
      <w:r w:rsidR="00DC508C">
        <w:rPr>
          <w:lang w:val="nl-NL"/>
        </w:rPr>
        <w:t>ING CDC Pensioenfonds</w:t>
      </w:r>
      <w:r w:rsidRPr="00845DF3">
        <w:rPr>
          <w:rFonts w:cs="Arial"/>
          <w:szCs w:val="20"/>
          <w:lang w:val="nl-NL"/>
        </w:rPr>
        <w:t xml:space="preserve"> is gericht op de lange termijn. Bij de start in 2014 heeft </w:t>
      </w:r>
      <w:r w:rsidR="001B2EC0">
        <w:rPr>
          <w:rFonts w:cs="Arial"/>
          <w:szCs w:val="20"/>
          <w:lang w:val="nl-NL"/>
        </w:rPr>
        <w:t>het fonds</w:t>
      </w:r>
      <w:r w:rsidRPr="00845DF3">
        <w:rPr>
          <w:rFonts w:cs="Arial"/>
          <w:szCs w:val="20"/>
          <w:lang w:val="nl-NL"/>
        </w:rPr>
        <w:t xml:space="preserve"> gekozen voor een beleggingsbeleid dat in de eerste jaren verhoudingsgewijs behoedzaam is, maar waarbij voldoende rendementspotentieel in de beleggingsportefeuille aanwezig blijft om in de toekomst eventueel toeslagen te kunnen verlenen.</w:t>
      </w:r>
    </w:p>
    <w:p w14:paraId="23726C42" w14:textId="77777777" w:rsidR="008814A0" w:rsidRPr="00355BF4" w:rsidRDefault="008814A0" w:rsidP="008814A0">
      <w:pPr>
        <w:spacing w:after="200" w:line="276" w:lineRule="auto"/>
        <w:rPr>
          <w:lang w:val="nl-NL"/>
        </w:rPr>
      </w:pPr>
      <w:r>
        <w:rPr>
          <w:rFonts w:cs="Univers"/>
          <w:color w:val="000000"/>
          <w:lang w:val="nl-NL"/>
        </w:rPr>
        <w:br/>
      </w:r>
      <w:r w:rsidRPr="00366D3F">
        <w:rPr>
          <w:rFonts w:cs="Univers"/>
          <w:color w:val="000000"/>
          <w:lang w:val="nl-NL"/>
        </w:rPr>
        <w:t xml:space="preserve">Met het oog hierop zijn de beleggingen van </w:t>
      </w:r>
      <w:r w:rsidR="001B2EC0">
        <w:rPr>
          <w:rFonts w:cs="Univers"/>
          <w:color w:val="000000"/>
          <w:lang w:val="nl-NL"/>
        </w:rPr>
        <w:t>het fonds</w:t>
      </w:r>
      <w:r w:rsidRPr="00366D3F">
        <w:rPr>
          <w:rFonts w:cs="Univers"/>
          <w:color w:val="000000"/>
          <w:lang w:val="nl-NL"/>
        </w:rPr>
        <w:t xml:space="preserve"> onderverdeeld in twee portefeuilles</w:t>
      </w:r>
      <w:r w:rsidRPr="00355BF4">
        <w:rPr>
          <w:szCs w:val="20"/>
          <w:lang w:val="nl-NL"/>
        </w:rPr>
        <w:t>:</w:t>
      </w:r>
    </w:p>
    <w:tbl>
      <w:tblPr>
        <w:tblStyle w:val="Tabelraster"/>
        <w:tblW w:w="0" w:type="auto"/>
        <w:tblLook w:val="04A0" w:firstRow="1" w:lastRow="0" w:firstColumn="1" w:lastColumn="0" w:noHBand="0" w:noVBand="1"/>
      </w:tblPr>
      <w:tblGrid>
        <w:gridCol w:w="4530"/>
        <w:gridCol w:w="4531"/>
      </w:tblGrid>
      <w:tr w:rsidR="008814A0" w:rsidRPr="002201A0" w14:paraId="3B30B24C" w14:textId="77777777" w:rsidTr="0023776C">
        <w:tc>
          <w:tcPr>
            <w:tcW w:w="4606" w:type="dxa"/>
          </w:tcPr>
          <w:p w14:paraId="77AFD3E6" w14:textId="77777777" w:rsidR="008814A0" w:rsidRPr="00EE52FF" w:rsidRDefault="008814A0" w:rsidP="00B6584D">
            <w:pPr>
              <w:rPr>
                <w:b/>
                <w:lang w:val="nl-NL"/>
              </w:rPr>
            </w:pPr>
            <w:r w:rsidRPr="00EE52FF">
              <w:rPr>
                <w:b/>
                <w:lang w:val="nl-NL"/>
              </w:rPr>
              <w:t>Matching portefeuille</w:t>
            </w:r>
          </w:p>
        </w:tc>
        <w:tc>
          <w:tcPr>
            <w:tcW w:w="4606" w:type="dxa"/>
          </w:tcPr>
          <w:p w14:paraId="2F611A0A" w14:textId="77777777" w:rsidR="008814A0" w:rsidRPr="00EE52FF" w:rsidRDefault="008814A0" w:rsidP="00B6584D">
            <w:pPr>
              <w:rPr>
                <w:b/>
                <w:lang w:val="nl-NL"/>
              </w:rPr>
            </w:pPr>
            <w:r w:rsidRPr="00EE52FF">
              <w:rPr>
                <w:b/>
                <w:lang w:val="nl-NL"/>
              </w:rPr>
              <w:t>Return portefeuille</w:t>
            </w:r>
          </w:p>
        </w:tc>
      </w:tr>
      <w:tr w:rsidR="008814A0" w:rsidRPr="000A7159" w14:paraId="117C5BA9" w14:textId="77777777" w:rsidTr="0023776C">
        <w:tc>
          <w:tcPr>
            <w:tcW w:w="4606" w:type="dxa"/>
          </w:tcPr>
          <w:p w14:paraId="5634DE15" w14:textId="77777777" w:rsidR="008814A0" w:rsidRPr="00EE52FF" w:rsidRDefault="008814A0" w:rsidP="0023776C">
            <w:pPr>
              <w:rPr>
                <w:rFonts w:cs="Univers"/>
                <w:color w:val="000000"/>
                <w:lang w:val="nl-NL"/>
              </w:rPr>
            </w:pPr>
            <w:r w:rsidRPr="00EE52FF">
              <w:rPr>
                <w:rFonts w:cs="Univers"/>
                <w:color w:val="000000"/>
                <w:lang w:val="nl-NL"/>
              </w:rPr>
              <w:t xml:space="preserve">Deze portefeuille heeft als </w:t>
            </w:r>
            <w:r>
              <w:rPr>
                <w:rFonts w:cs="Univers"/>
                <w:color w:val="000000"/>
                <w:lang w:val="nl-NL"/>
              </w:rPr>
              <w:t xml:space="preserve">primair </w:t>
            </w:r>
            <w:r w:rsidRPr="00EE52FF">
              <w:rPr>
                <w:rFonts w:cs="Univers"/>
                <w:color w:val="000000"/>
                <w:lang w:val="nl-NL"/>
              </w:rPr>
              <w:t>doel om de (nominale) pensioenverplichtingen te financieren.</w:t>
            </w:r>
          </w:p>
          <w:p w14:paraId="4538A89D" w14:textId="77777777" w:rsidR="008814A0" w:rsidRPr="00EE52FF" w:rsidRDefault="008814A0" w:rsidP="0023776C">
            <w:pPr>
              <w:rPr>
                <w:rFonts w:cs="Univers"/>
                <w:color w:val="000000"/>
                <w:lang w:val="nl-NL"/>
              </w:rPr>
            </w:pPr>
          </w:p>
          <w:p w14:paraId="29A978D6" w14:textId="1277977D" w:rsidR="008814A0" w:rsidRDefault="008814A0" w:rsidP="0023776C">
            <w:pPr>
              <w:rPr>
                <w:rFonts w:cs="Univers"/>
                <w:color w:val="000000"/>
                <w:lang w:val="nl-NL"/>
              </w:rPr>
            </w:pPr>
            <w:r w:rsidRPr="00EE52FF">
              <w:rPr>
                <w:rFonts w:cs="Univers"/>
                <w:color w:val="000000"/>
                <w:lang w:val="nl-NL"/>
              </w:rPr>
              <w:t xml:space="preserve">In </w:t>
            </w:r>
            <w:r>
              <w:rPr>
                <w:rFonts w:cs="Univers"/>
                <w:color w:val="000000"/>
                <w:lang w:val="nl-NL"/>
              </w:rPr>
              <w:t>de matching</w:t>
            </w:r>
            <w:r w:rsidRPr="00EE52FF">
              <w:rPr>
                <w:rFonts w:cs="Univers"/>
                <w:color w:val="000000"/>
                <w:lang w:val="nl-NL"/>
              </w:rPr>
              <w:t xml:space="preserve"> portefeuille wordt belegd in</w:t>
            </w:r>
            <w:r>
              <w:rPr>
                <w:rFonts w:cs="Univers"/>
                <w:color w:val="000000"/>
                <w:lang w:val="nl-NL"/>
              </w:rPr>
              <w:t xml:space="preserve"> hoogwaardige </w:t>
            </w:r>
            <w:r w:rsidRPr="00EE52FF">
              <w:rPr>
                <w:rFonts w:cs="Univers"/>
                <w:color w:val="000000"/>
                <w:lang w:val="nl-NL"/>
              </w:rPr>
              <w:t xml:space="preserve">obligaties die zodanig worden gekozen dat de geldstromen van de obligaties en de pensioenuitkeringen </w:t>
            </w:r>
            <w:r>
              <w:rPr>
                <w:rFonts w:cs="Univers"/>
                <w:color w:val="000000"/>
                <w:lang w:val="nl-NL"/>
              </w:rPr>
              <w:t xml:space="preserve">voor een belangrijk deel </w:t>
            </w:r>
            <w:r w:rsidRPr="00EE52FF">
              <w:rPr>
                <w:rFonts w:cs="Univers"/>
                <w:color w:val="000000"/>
                <w:lang w:val="nl-NL"/>
              </w:rPr>
              <w:t xml:space="preserve">met elkaar samenvallen (‘matchen’). </w:t>
            </w:r>
            <w:r w:rsidR="00DB2463">
              <w:rPr>
                <w:rFonts w:cs="Univers"/>
                <w:color w:val="000000"/>
                <w:lang w:val="nl-NL"/>
              </w:rPr>
              <w:t xml:space="preserve"> Rentederivaten en</w:t>
            </w:r>
            <w:r w:rsidR="00C87347">
              <w:rPr>
                <w:rFonts w:cs="Univers"/>
                <w:color w:val="000000"/>
                <w:lang w:val="nl-NL"/>
              </w:rPr>
              <w:t xml:space="preserve"> Nederlandse woninghypotheken </w:t>
            </w:r>
            <w:r w:rsidR="007134E4">
              <w:rPr>
                <w:rFonts w:cs="Univers"/>
                <w:color w:val="000000"/>
                <w:lang w:val="nl-NL"/>
              </w:rPr>
              <w:t>maken ook onderdeel uit van</w:t>
            </w:r>
            <w:r w:rsidR="00C87347">
              <w:rPr>
                <w:rFonts w:cs="Univers"/>
                <w:color w:val="000000"/>
                <w:lang w:val="nl-NL"/>
              </w:rPr>
              <w:t xml:space="preserve"> deze portefeuille.</w:t>
            </w:r>
          </w:p>
          <w:p w14:paraId="658D6F80" w14:textId="77777777" w:rsidR="008814A0" w:rsidRDefault="008814A0" w:rsidP="0023776C">
            <w:pPr>
              <w:rPr>
                <w:rFonts w:cs="Univers"/>
                <w:color w:val="000000"/>
                <w:lang w:val="nl-NL"/>
              </w:rPr>
            </w:pPr>
          </w:p>
          <w:p w14:paraId="7DFB5F75" w14:textId="0B6AB68C" w:rsidR="008814A0" w:rsidRDefault="008814A0" w:rsidP="0023776C">
            <w:pPr>
              <w:rPr>
                <w:rFonts w:cs="Univers"/>
                <w:color w:val="000000"/>
                <w:lang w:val="nl-NL"/>
              </w:rPr>
            </w:pPr>
            <w:r w:rsidRPr="00EE52FF">
              <w:rPr>
                <w:rFonts w:cs="Univers"/>
                <w:color w:val="000000"/>
                <w:lang w:val="nl-NL"/>
              </w:rPr>
              <w:t xml:space="preserve">De </w:t>
            </w:r>
            <w:r>
              <w:rPr>
                <w:rFonts w:cs="Univers"/>
                <w:color w:val="000000"/>
                <w:lang w:val="nl-NL"/>
              </w:rPr>
              <w:t xml:space="preserve">strategische weging </w:t>
            </w:r>
            <w:r w:rsidRPr="00EE52FF">
              <w:rPr>
                <w:rFonts w:cs="Univers"/>
                <w:color w:val="000000"/>
                <w:lang w:val="nl-NL"/>
              </w:rPr>
              <w:t xml:space="preserve">van de matching portefeuille bedraagt </w:t>
            </w:r>
            <w:r w:rsidR="004132F3">
              <w:rPr>
                <w:rFonts w:cs="Univers"/>
                <w:color w:val="000000"/>
                <w:lang w:val="nl-NL"/>
              </w:rPr>
              <w:t>6</w:t>
            </w:r>
            <w:r w:rsidR="00A031EE">
              <w:rPr>
                <w:rFonts w:cs="Univers"/>
                <w:color w:val="000000"/>
                <w:lang w:val="nl-NL"/>
              </w:rPr>
              <w:t>0</w:t>
            </w:r>
            <w:r>
              <w:rPr>
                <w:rFonts w:cs="Univers"/>
                <w:color w:val="000000"/>
                <w:lang w:val="nl-NL"/>
              </w:rPr>
              <w:t xml:space="preserve">% </w:t>
            </w:r>
            <w:r w:rsidRPr="00EE52FF">
              <w:rPr>
                <w:rFonts w:cs="Univers"/>
                <w:color w:val="000000"/>
                <w:lang w:val="nl-NL"/>
              </w:rPr>
              <w:t xml:space="preserve">van het belegd vermogen van </w:t>
            </w:r>
            <w:r w:rsidR="00DC508C">
              <w:rPr>
                <w:lang w:val="nl-NL"/>
              </w:rPr>
              <w:t>ING CDC Pensioenfonds</w:t>
            </w:r>
            <w:r>
              <w:rPr>
                <w:rFonts w:cs="Univers"/>
                <w:color w:val="000000"/>
                <w:lang w:val="nl-NL"/>
              </w:rPr>
              <w:t xml:space="preserve"> en de minimale weging is </w:t>
            </w:r>
            <w:r w:rsidR="00A031EE">
              <w:rPr>
                <w:rFonts w:cs="Univers"/>
                <w:color w:val="000000"/>
                <w:lang w:val="nl-NL"/>
              </w:rPr>
              <w:t>40</w:t>
            </w:r>
            <w:r w:rsidR="00270389">
              <w:rPr>
                <w:rFonts w:cs="Univers"/>
                <w:color w:val="000000"/>
                <w:lang w:val="nl-NL"/>
              </w:rPr>
              <w:t xml:space="preserve">% en maximale weging </w:t>
            </w:r>
            <w:r w:rsidR="00A031EE">
              <w:rPr>
                <w:rFonts w:cs="Univers"/>
                <w:color w:val="000000"/>
                <w:lang w:val="nl-NL"/>
              </w:rPr>
              <w:t>60</w:t>
            </w:r>
            <w:r>
              <w:rPr>
                <w:rFonts w:cs="Univers"/>
                <w:color w:val="000000"/>
                <w:lang w:val="nl-NL"/>
              </w:rPr>
              <w:t>%.</w:t>
            </w:r>
          </w:p>
          <w:p w14:paraId="2F8A032A" w14:textId="77777777" w:rsidR="008814A0" w:rsidRDefault="008814A0" w:rsidP="0023776C">
            <w:pPr>
              <w:rPr>
                <w:rFonts w:cs="Univers"/>
                <w:color w:val="000000"/>
                <w:lang w:val="nl-NL"/>
              </w:rPr>
            </w:pPr>
          </w:p>
          <w:p w14:paraId="5CA83F3E" w14:textId="7267BE0C" w:rsidR="008814A0" w:rsidRPr="00EE52FF" w:rsidRDefault="008814A0" w:rsidP="00070954">
            <w:pPr>
              <w:rPr>
                <w:rFonts w:cs="Univers"/>
                <w:color w:val="000000"/>
                <w:lang w:val="nl-NL"/>
              </w:rPr>
            </w:pPr>
            <w:r>
              <w:rPr>
                <w:rFonts w:cs="Univers"/>
                <w:color w:val="000000"/>
                <w:lang w:val="nl-NL"/>
              </w:rPr>
              <w:t>Alle obligaties in de portefeuille moeten voldoen aan hoge eisen van kredietwaardigheid (tenminste AA</w:t>
            </w:r>
            <w:r w:rsidR="00862BAF">
              <w:rPr>
                <w:rFonts w:cs="Univers"/>
                <w:color w:val="000000"/>
                <w:lang w:val="nl-NL"/>
              </w:rPr>
              <w:t>-</w:t>
            </w:r>
            <w:r>
              <w:rPr>
                <w:rFonts w:cs="Univers"/>
                <w:color w:val="000000"/>
                <w:lang w:val="nl-NL"/>
              </w:rPr>
              <w:t xml:space="preserve">). In de matching portefeuille wordt geen valutarisico gelopen en de samenstelling van de matching portefeuille is </w:t>
            </w:r>
            <w:r>
              <w:rPr>
                <w:rFonts w:cs="Univers"/>
                <w:color w:val="000000"/>
                <w:lang w:val="nl-NL"/>
              </w:rPr>
              <w:lastRenderedPageBreak/>
              <w:t xml:space="preserve">zodanig dat ten hoogste </w:t>
            </w:r>
            <w:r w:rsidR="00A031EE">
              <w:rPr>
                <w:rFonts w:cs="Univers"/>
                <w:color w:val="000000"/>
                <w:lang w:val="nl-NL"/>
              </w:rPr>
              <w:t>85</w:t>
            </w:r>
            <w:r w:rsidRPr="00B75FEF">
              <w:rPr>
                <w:rFonts w:cs="Univers"/>
                <w:color w:val="000000"/>
                <w:lang w:val="nl-NL"/>
              </w:rPr>
              <w:t>%</w:t>
            </w:r>
            <w:r>
              <w:rPr>
                <w:rFonts w:cs="Univers"/>
                <w:color w:val="000000"/>
                <w:lang w:val="nl-NL"/>
              </w:rPr>
              <w:t xml:space="preserve"> van het renterisico </w:t>
            </w:r>
            <w:r w:rsidR="00A031EE">
              <w:rPr>
                <w:rFonts w:cs="Univers"/>
                <w:color w:val="000000"/>
                <w:lang w:val="nl-NL"/>
              </w:rPr>
              <w:t>(op markt</w:t>
            </w:r>
            <w:r w:rsidR="00AF21FE">
              <w:rPr>
                <w:rFonts w:cs="Univers"/>
                <w:color w:val="000000"/>
                <w:lang w:val="nl-NL"/>
              </w:rPr>
              <w:t>rente</w:t>
            </w:r>
            <w:r w:rsidR="00A031EE">
              <w:rPr>
                <w:rFonts w:cs="Univers"/>
                <w:color w:val="000000"/>
                <w:lang w:val="nl-NL"/>
              </w:rPr>
              <w:t xml:space="preserve">) </w:t>
            </w:r>
            <w:r>
              <w:rPr>
                <w:rFonts w:cs="Univers"/>
                <w:color w:val="000000"/>
                <w:lang w:val="nl-NL"/>
              </w:rPr>
              <w:t xml:space="preserve">op de pensioenverplichtingen is afgedekt. Het renterisico wordt hiertoe gemeten op basis van de </w:t>
            </w:r>
            <w:r w:rsidR="00A031EE">
              <w:rPr>
                <w:rFonts w:cs="Univers"/>
                <w:color w:val="000000"/>
                <w:lang w:val="nl-NL"/>
              </w:rPr>
              <w:t>euro swap curve</w:t>
            </w:r>
            <w:r>
              <w:rPr>
                <w:rFonts w:cs="Univers"/>
                <w:color w:val="000000"/>
                <w:lang w:val="nl-NL"/>
              </w:rPr>
              <w:t>. Ten behoeve van het afdekken van het renterisico kunnen eventueel rentederivaten aan de matching portefeuille worden toegevoegd.</w:t>
            </w:r>
          </w:p>
        </w:tc>
        <w:tc>
          <w:tcPr>
            <w:tcW w:w="4606" w:type="dxa"/>
          </w:tcPr>
          <w:p w14:paraId="3D8F1753" w14:textId="77777777" w:rsidR="008814A0" w:rsidRPr="00EE52FF" w:rsidRDefault="008814A0" w:rsidP="0023776C">
            <w:pPr>
              <w:rPr>
                <w:rFonts w:cs="Univers"/>
                <w:color w:val="000000"/>
                <w:lang w:val="nl-NL"/>
              </w:rPr>
            </w:pPr>
            <w:r w:rsidRPr="00EE52FF">
              <w:rPr>
                <w:rFonts w:cs="Univers"/>
                <w:color w:val="000000"/>
                <w:lang w:val="nl-NL"/>
              </w:rPr>
              <w:lastRenderedPageBreak/>
              <w:t xml:space="preserve">Deze portefeuille heeft als </w:t>
            </w:r>
            <w:r>
              <w:rPr>
                <w:rFonts w:cs="Univers"/>
                <w:color w:val="000000"/>
                <w:lang w:val="nl-NL"/>
              </w:rPr>
              <w:t xml:space="preserve">primair </w:t>
            </w:r>
            <w:r w:rsidRPr="00EE52FF">
              <w:rPr>
                <w:rFonts w:cs="Univers"/>
                <w:color w:val="000000"/>
                <w:lang w:val="nl-NL"/>
              </w:rPr>
              <w:t xml:space="preserve">doel </w:t>
            </w:r>
            <w:r>
              <w:rPr>
                <w:rFonts w:cs="Univers"/>
                <w:color w:val="000000"/>
                <w:lang w:val="nl-NL"/>
              </w:rPr>
              <w:t xml:space="preserve">(op termijn) </w:t>
            </w:r>
            <w:r w:rsidRPr="000A04D6">
              <w:rPr>
                <w:rFonts w:cs="Univers"/>
                <w:color w:val="000000"/>
                <w:lang w:val="nl-NL"/>
              </w:rPr>
              <w:t xml:space="preserve">voldoende </w:t>
            </w:r>
            <w:r>
              <w:rPr>
                <w:rFonts w:cs="Univers"/>
                <w:color w:val="000000"/>
                <w:lang w:val="nl-NL"/>
              </w:rPr>
              <w:t xml:space="preserve">rendement </w:t>
            </w:r>
            <w:r w:rsidRPr="000A04D6">
              <w:rPr>
                <w:rFonts w:cs="Univers"/>
                <w:color w:val="000000"/>
                <w:lang w:val="nl-NL"/>
              </w:rPr>
              <w:t>te creëren om toeslagverlening mogelijk te maken.</w:t>
            </w:r>
          </w:p>
          <w:p w14:paraId="357E90E9" w14:textId="77777777" w:rsidR="008814A0" w:rsidRPr="00EE52FF" w:rsidRDefault="008814A0" w:rsidP="0023776C">
            <w:pPr>
              <w:rPr>
                <w:rFonts w:cs="Univers"/>
                <w:color w:val="000000"/>
                <w:lang w:val="nl-NL"/>
              </w:rPr>
            </w:pPr>
          </w:p>
          <w:p w14:paraId="538A189B" w14:textId="2606BDC9" w:rsidR="008814A0" w:rsidRDefault="008814A0" w:rsidP="0023776C">
            <w:pPr>
              <w:rPr>
                <w:rFonts w:cs="Univers"/>
                <w:color w:val="000000"/>
                <w:lang w:val="nl-NL"/>
              </w:rPr>
            </w:pPr>
            <w:r w:rsidRPr="00EE52FF">
              <w:rPr>
                <w:rFonts w:cs="Univers"/>
                <w:color w:val="000000"/>
                <w:lang w:val="nl-NL"/>
              </w:rPr>
              <w:t>In deze portefeuille wordt gezocht naar een hoger rendement door te beleggen in aandelen</w:t>
            </w:r>
            <w:r w:rsidR="00A3617A">
              <w:rPr>
                <w:rFonts w:cs="Univers"/>
                <w:color w:val="000000"/>
                <w:lang w:val="nl-NL"/>
              </w:rPr>
              <w:t xml:space="preserve">, </w:t>
            </w:r>
            <w:r w:rsidRPr="00EE52FF">
              <w:rPr>
                <w:rFonts w:cs="Univers"/>
                <w:color w:val="000000"/>
                <w:lang w:val="nl-NL"/>
              </w:rPr>
              <w:t>onroerend goed</w:t>
            </w:r>
            <w:r w:rsidR="00A3617A">
              <w:rPr>
                <w:rFonts w:cs="Univers"/>
                <w:color w:val="000000"/>
                <w:lang w:val="nl-NL"/>
              </w:rPr>
              <w:t xml:space="preserve"> en bedrijfsobligaties</w:t>
            </w:r>
            <w:r w:rsidRPr="00EE52FF">
              <w:rPr>
                <w:rFonts w:cs="Univers"/>
                <w:color w:val="000000"/>
                <w:lang w:val="nl-NL"/>
              </w:rPr>
              <w:t xml:space="preserve">. De </w:t>
            </w:r>
            <w:r>
              <w:rPr>
                <w:rFonts w:cs="Univers"/>
                <w:color w:val="000000"/>
                <w:lang w:val="nl-NL"/>
              </w:rPr>
              <w:t xml:space="preserve">strategische weging </w:t>
            </w:r>
            <w:r w:rsidRPr="00EE52FF">
              <w:rPr>
                <w:rFonts w:cs="Univers"/>
                <w:color w:val="000000"/>
                <w:lang w:val="nl-NL"/>
              </w:rPr>
              <w:t xml:space="preserve">van de return portefeuille bedraagt </w:t>
            </w:r>
            <w:r w:rsidR="00A031EE">
              <w:rPr>
                <w:rFonts w:cs="Univers"/>
                <w:color w:val="000000"/>
                <w:lang w:val="nl-NL"/>
              </w:rPr>
              <w:t>50</w:t>
            </w:r>
            <w:r>
              <w:rPr>
                <w:rFonts w:cs="Univers"/>
                <w:color w:val="000000"/>
                <w:lang w:val="nl-NL"/>
              </w:rPr>
              <w:t xml:space="preserve">% </w:t>
            </w:r>
            <w:r w:rsidRPr="00EE52FF">
              <w:rPr>
                <w:rFonts w:cs="Univers"/>
                <w:color w:val="000000"/>
                <w:lang w:val="nl-NL"/>
              </w:rPr>
              <w:t xml:space="preserve">van het belegd vermogen van </w:t>
            </w:r>
            <w:r w:rsidR="00DC508C">
              <w:rPr>
                <w:lang w:val="nl-NL"/>
              </w:rPr>
              <w:t>ING CDC Pensioenfonds</w:t>
            </w:r>
            <w:r>
              <w:rPr>
                <w:rFonts w:cs="Univers"/>
                <w:color w:val="000000"/>
                <w:lang w:val="nl-NL"/>
              </w:rPr>
              <w:t xml:space="preserve"> en de minimale weging is </w:t>
            </w:r>
            <w:r w:rsidR="00A031EE">
              <w:rPr>
                <w:rFonts w:cs="Univers"/>
                <w:color w:val="000000"/>
                <w:lang w:val="nl-NL"/>
              </w:rPr>
              <w:t>40</w:t>
            </w:r>
            <w:r>
              <w:rPr>
                <w:rFonts w:cs="Univers"/>
                <w:color w:val="000000"/>
                <w:lang w:val="nl-NL"/>
              </w:rPr>
              <w:t xml:space="preserve">% en maximale weging is </w:t>
            </w:r>
            <w:r w:rsidR="00A031EE">
              <w:rPr>
                <w:rFonts w:cs="Univers"/>
                <w:color w:val="000000"/>
                <w:lang w:val="nl-NL"/>
              </w:rPr>
              <w:t>60</w:t>
            </w:r>
            <w:r>
              <w:rPr>
                <w:rFonts w:cs="Univers"/>
                <w:color w:val="000000"/>
                <w:lang w:val="nl-NL"/>
              </w:rPr>
              <w:t>%</w:t>
            </w:r>
            <w:r w:rsidRPr="00EE52FF">
              <w:rPr>
                <w:rFonts w:cs="Univers"/>
                <w:color w:val="000000"/>
                <w:lang w:val="nl-NL"/>
              </w:rPr>
              <w:t>.</w:t>
            </w:r>
          </w:p>
          <w:p w14:paraId="73DEC39A" w14:textId="77777777" w:rsidR="008814A0" w:rsidRDefault="008814A0" w:rsidP="0023776C">
            <w:pPr>
              <w:rPr>
                <w:rFonts w:cs="Univers"/>
                <w:color w:val="000000"/>
                <w:lang w:val="nl-NL"/>
              </w:rPr>
            </w:pPr>
          </w:p>
          <w:p w14:paraId="4402EE38" w14:textId="45A0B630" w:rsidR="008814A0" w:rsidRDefault="008814A0" w:rsidP="0023776C">
            <w:pPr>
              <w:rPr>
                <w:rFonts w:cs="Univers"/>
                <w:color w:val="000000"/>
                <w:lang w:val="nl-NL"/>
              </w:rPr>
            </w:pPr>
            <w:r>
              <w:rPr>
                <w:rFonts w:cs="Univers"/>
                <w:color w:val="000000"/>
                <w:lang w:val="nl-NL"/>
              </w:rPr>
              <w:t>De return</w:t>
            </w:r>
            <w:r w:rsidR="00C906E3">
              <w:rPr>
                <w:rFonts w:cs="Univers"/>
                <w:color w:val="000000"/>
                <w:lang w:val="nl-NL"/>
              </w:rPr>
              <w:t xml:space="preserve"> </w:t>
            </w:r>
            <w:r>
              <w:rPr>
                <w:rFonts w:cs="Univers"/>
                <w:color w:val="000000"/>
                <w:lang w:val="nl-NL"/>
              </w:rPr>
              <w:t xml:space="preserve">portefeuille wordt </w:t>
            </w:r>
            <w:r w:rsidR="00A031EE">
              <w:rPr>
                <w:rFonts w:cs="Univers"/>
                <w:color w:val="000000"/>
                <w:lang w:val="nl-NL"/>
              </w:rPr>
              <w:t>strategisch voor 60</w:t>
            </w:r>
            <w:r>
              <w:rPr>
                <w:rFonts w:cs="Univers"/>
                <w:color w:val="000000"/>
                <w:lang w:val="nl-NL"/>
              </w:rPr>
              <w:t>% belegd in aandelen</w:t>
            </w:r>
            <w:r w:rsidR="00A031EE">
              <w:rPr>
                <w:rFonts w:cs="Univers"/>
                <w:color w:val="000000"/>
                <w:lang w:val="nl-NL"/>
              </w:rPr>
              <w:t>,</w:t>
            </w:r>
            <w:r>
              <w:rPr>
                <w:rFonts w:cs="Univers"/>
                <w:color w:val="000000"/>
                <w:lang w:val="nl-NL"/>
              </w:rPr>
              <w:t xml:space="preserve"> </w:t>
            </w:r>
            <w:r w:rsidR="00A031EE">
              <w:rPr>
                <w:rFonts w:cs="Univers"/>
                <w:color w:val="000000"/>
                <w:lang w:val="nl-NL"/>
              </w:rPr>
              <w:t>20</w:t>
            </w:r>
            <w:r>
              <w:rPr>
                <w:rFonts w:cs="Univers"/>
                <w:color w:val="000000"/>
                <w:lang w:val="nl-NL"/>
              </w:rPr>
              <w:t>% in onroerend goed (door middel van beleggingen in onroerend goed fondsen)</w:t>
            </w:r>
            <w:r w:rsidR="00A031EE">
              <w:rPr>
                <w:rFonts w:cs="Univers"/>
                <w:color w:val="000000"/>
                <w:lang w:val="nl-NL"/>
              </w:rPr>
              <w:t xml:space="preserve"> en 20% in bedrijfsobligaties (investment grade en high yield)</w:t>
            </w:r>
            <w:r>
              <w:rPr>
                <w:rFonts w:cs="Univers"/>
                <w:color w:val="000000"/>
                <w:lang w:val="nl-NL"/>
              </w:rPr>
              <w:t>. De beleggingen in aandelen</w:t>
            </w:r>
            <w:r w:rsidR="00C87347">
              <w:rPr>
                <w:rFonts w:cs="Univers"/>
                <w:color w:val="000000"/>
                <w:lang w:val="nl-NL"/>
              </w:rPr>
              <w:t>, bedrijfsobligaties</w:t>
            </w:r>
            <w:r>
              <w:rPr>
                <w:rFonts w:cs="Univers"/>
                <w:color w:val="000000"/>
                <w:lang w:val="nl-NL"/>
              </w:rPr>
              <w:t xml:space="preserve"> en onroerend goed fondsen zijn wereldwijd gespreid.</w:t>
            </w:r>
            <w:r w:rsidR="003870D0">
              <w:rPr>
                <w:rFonts w:cs="Univers"/>
                <w:color w:val="000000"/>
                <w:lang w:val="nl-NL"/>
              </w:rPr>
              <w:t xml:space="preserve"> </w:t>
            </w:r>
          </w:p>
          <w:p w14:paraId="3F79BD2D" w14:textId="77777777" w:rsidR="008814A0" w:rsidRDefault="008814A0" w:rsidP="0023776C">
            <w:pPr>
              <w:rPr>
                <w:rFonts w:cs="Univers"/>
                <w:color w:val="000000"/>
                <w:lang w:val="nl-NL"/>
              </w:rPr>
            </w:pPr>
          </w:p>
          <w:p w14:paraId="3C5B313A" w14:textId="78993358" w:rsidR="008814A0" w:rsidRPr="00EE52FF" w:rsidRDefault="008814A0" w:rsidP="0023776C">
            <w:pPr>
              <w:rPr>
                <w:rFonts w:cs="Univers"/>
                <w:color w:val="000000"/>
                <w:lang w:val="nl-NL"/>
              </w:rPr>
            </w:pPr>
            <w:r>
              <w:rPr>
                <w:rFonts w:cs="Univers"/>
                <w:color w:val="000000"/>
                <w:lang w:val="nl-NL"/>
              </w:rPr>
              <w:t xml:space="preserve">Het valutarisico dat samenhangt met beleggingen buiten de Euro zone </w:t>
            </w:r>
            <w:r w:rsidR="00A031EE">
              <w:rPr>
                <w:rFonts w:cs="Univers"/>
                <w:color w:val="000000"/>
                <w:lang w:val="nl-NL"/>
              </w:rPr>
              <w:t xml:space="preserve">(exclusief opkomende landen) </w:t>
            </w:r>
            <w:r>
              <w:rPr>
                <w:rFonts w:cs="Univers"/>
                <w:color w:val="000000"/>
                <w:lang w:val="nl-NL"/>
              </w:rPr>
              <w:t xml:space="preserve">wordt door middel van </w:t>
            </w:r>
            <w:r>
              <w:rPr>
                <w:rFonts w:cs="Univers"/>
                <w:color w:val="000000"/>
                <w:lang w:val="nl-NL"/>
              </w:rPr>
              <w:lastRenderedPageBreak/>
              <w:t xml:space="preserve">valutatermijncontracten afgedekt voor ten minste </w:t>
            </w:r>
            <w:r w:rsidR="00A031EE">
              <w:rPr>
                <w:rFonts w:cs="Univers"/>
                <w:color w:val="000000"/>
                <w:lang w:val="nl-NL"/>
              </w:rPr>
              <w:t>50</w:t>
            </w:r>
            <w:r w:rsidRPr="00B75FEF">
              <w:rPr>
                <w:rFonts w:cs="Univers"/>
                <w:color w:val="000000"/>
                <w:lang w:val="nl-NL"/>
              </w:rPr>
              <w:t>%</w:t>
            </w:r>
            <w:r>
              <w:rPr>
                <w:rFonts w:cs="Univers"/>
                <w:color w:val="000000"/>
                <w:lang w:val="nl-NL"/>
              </w:rPr>
              <w:t xml:space="preserve"> en ten hoogste </w:t>
            </w:r>
            <w:r w:rsidRPr="00B75FEF">
              <w:rPr>
                <w:rFonts w:cs="Univers"/>
                <w:color w:val="000000"/>
                <w:lang w:val="nl-NL"/>
              </w:rPr>
              <w:t>110%</w:t>
            </w:r>
            <w:r>
              <w:rPr>
                <w:rFonts w:cs="Univers"/>
                <w:color w:val="000000"/>
                <w:lang w:val="nl-NL"/>
              </w:rPr>
              <w:t xml:space="preserve"> van de zes grootste (vreemde) valuta’s.</w:t>
            </w:r>
          </w:p>
        </w:tc>
      </w:tr>
    </w:tbl>
    <w:p w14:paraId="6AD510D9" w14:textId="77777777" w:rsidR="008814A0" w:rsidRDefault="008814A0" w:rsidP="008814A0">
      <w:pPr>
        <w:spacing w:line="280" w:lineRule="exact"/>
        <w:rPr>
          <w:rFonts w:cs="Arial"/>
          <w:szCs w:val="20"/>
          <w:lang w:val="nl-NL"/>
        </w:rPr>
      </w:pPr>
    </w:p>
    <w:p w14:paraId="02B3F231" w14:textId="4E73CEB5" w:rsidR="00B65B81" w:rsidRDefault="008814A0" w:rsidP="008814A0">
      <w:pPr>
        <w:spacing w:line="280" w:lineRule="exact"/>
        <w:rPr>
          <w:rFonts w:cs="Arial"/>
          <w:szCs w:val="20"/>
          <w:lang w:val="nl-NL"/>
        </w:rPr>
      </w:pPr>
      <w:r>
        <w:rPr>
          <w:rFonts w:cs="Arial"/>
          <w:szCs w:val="20"/>
          <w:lang w:val="nl-NL"/>
        </w:rPr>
        <w:t xml:space="preserve">Ten minste iedere 3 jaar, of tussentijds bij een significante verandering van de CDC-pensioenregeling, worden de strategische beleidskeuzes met een ALM studie getoetst. </w:t>
      </w:r>
      <w:r w:rsidR="00B65B81" w:rsidRPr="0000109F">
        <w:rPr>
          <w:rFonts w:cs="Arial"/>
          <w:szCs w:val="20"/>
          <w:lang w:val="nl-NL"/>
        </w:rPr>
        <w:t>De meest recente toets heeft in 20</w:t>
      </w:r>
      <w:r w:rsidR="00C87347">
        <w:rPr>
          <w:rFonts w:cs="Arial"/>
          <w:szCs w:val="20"/>
          <w:lang w:val="nl-NL"/>
        </w:rPr>
        <w:t>21</w:t>
      </w:r>
      <w:r w:rsidR="00B65B81" w:rsidRPr="0000109F">
        <w:rPr>
          <w:rFonts w:cs="Arial"/>
          <w:szCs w:val="20"/>
          <w:lang w:val="nl-NL"/>
        </w:rPr>
        <w:t xml:space="preserve"> plaatsgevonden, </w:t>
      </w:r>
      <w:r w:rsidR="00B65B81">
        <w:rPr>
          <w:lang w:val="nl-NL"/>
        </w:rPr>
        <w:t>waarvan de uitkomsten de basis vormen van het door het bestuur vastgestelde plan met betrekking tot het beleggings- en renteafdekkingsbeleid. Hierbij heeft het bestuur een asset allocatie vastgesteld die is afgestemd op de (gemiddelde) duratie van de pensioenverplichtingen.</w:t>
      </w:r>
      <w:r w:rsidR="00A66EA9">
        <w:rPr>
          <w:lang w:val="nl-NL"/>
        </w:rPr>
        <w:t xml:space="preserve"> </w:t>
      </w:r>
      <w:r w:rsidR="00A66EA9" w:rsidRPr="00A66EA9">
        <w:rPr>
          <w:lang w:val="nl-NL"/>
        </w:rPr>
        <w:t>De uitkomsten van de ALM-studie van 2021 vormen de input van het  huidige beleggings- en renteafdekkingsbeleid. Met de intentie tot invaren is besloten de strategische asset allocatie van de portefeuille ongewijzigd te laten tot invaardatum (i.c. 1 januari 2028). Een nieuwe ALM-studie wordt dan ook niet wenselijk geacht.</w:t>
      </w:r>
    </w:p>
    <w:p w14:paraId="4C5EF7D3" w14:textId="77777777" w:rsidR="00B65B81" w:rsidRDefault="00B65B81" w:rsidP="008814A0">
      <w:pPr>
        <w:spacing w:line="280" w:lineRule="exact"/>
        <w:rPr>
          <w:rFonts w:cs="Arial"/>
          <w:szCs w:val="20"/>
          <w:lang w:val="nl-NL"/>
        </w:rPr>
      </w:pPr>
    </w:p>
    <w:p w14:paraId="0AF4465A" w14:textId="5895B7AB" w:rsidR="008814A0" w:rsidRDefault="008814A0" w:rsidP="008814A0">
      <w:pPr>
        <w:spacing w:line="280" w:lineRule="exact"/>
        <w:rPr>
          <w:rFonts w:cs="Arial"/>
          <w:szCs w:val="20"/>
          <w:lang w:val="nl-NL"/>
        </w:rPr>
      </w:pPr>
      <w:r>
        <w:rPr>
          <w:rFonts w:cs="Arial"/>
          <w:szCs w:val="20"/>
          <w:lang w:val="nl-NL"/>
        </w:rPr>
        <w:t xml:space="preserve">Jaarlijks voert </w:t>
      </w:r>
      <w:r w:rsidR="001B2EC0">
        <w:rPr>
          <w:rFonts w:cs="Arial"/>
          <w:szCs w:val="20"/>
          <w:lang w:val="nl-NL"/>
        </w:rPr>
        <w:t>het fonds</w:t>
      </w:r>
      <w:r>
        <w:rPr>
          <w:rFonts w:cs="Arial"/>
          <w:szCs w:val="20"/>
          <w:lang w:val="nl-NL"/>
        </w:rPr>
        <w:t xml:space="preserve"> als onderdeel van zijn jaarafsluiting een toets uit (de “haalbaarheidstoets”) om de op lange termijn verwachte pensioenresultaten bij het gevoerde beleid te prognosticeren. </w:t>
      </w:r>
    </w:p>
    <w:p w14:paraId="583BA55D" w14:textId="77777777" w:rsidR="007B40A0" w:rsidRDefault="007B40A0" w:rsidP="008814A0">
      <w:pPr>
        <w:spacing w:line="280" w:lineRule="exact"/>
        <w:rPr>
          <w:rFonts w:cs="Arial"/>
          <w:szCs w:val="20"/>
          <w:lang w:val="nl-NL"/>
        </w:rPr>
      </w:pPr>
    </w:p>
    <w:p w14:paraId="0343C33F" w14:textId="745A8A22" w:rsidR="008814A0" w:rsidRDefault="0048364B" w:rsidP="008814A0">
      <w:pPr>
        <w:spacing w:line="280" w:lineRule="exact"/>
        <w:rPr>
          <w:rFonts w:cs="Arial"/>
          <w:szCs w:val="20"/>
          <w:lang w:val="nl-NL"/>
        </w:rPr>
      </w:pPr>
      <w:r w:rsidRPr="00B6584D">
        <w:rPr>
          <w:rFonts w:cs="Arial"/>
          <w:szCs w:val="20"/>
          <w:lang w:val="nl-NL"/>
        </w:rPr>
        <w:t>De strategische normwegingen van de matching en de return portefeuilles bedragen</w:t>
      </w:r>
      <w:r w:rsidR="00A031EE">
        <w:rPr>
          <w:rFonts w:cs="Arial"/>
          <w:szCs w:val="20"/>
          <w:lang w:val="nl-NL"/>
        </w:rPr>
        <w:t xml:space="preserve"> ieder 50%</w:t>
      </w:r>
      <w:r w:rsidR="004A7DB1">
        <w:rPr>
          <w:rFonts w:cs="Arial"/>
          <w:szCs w:val="20"/>
          <w:lang w:val="nl-NL"/>
        </w:rPr>
        <w:t>.</w:t>
      </w:r>
      <w:r w:rsidR="000D05C5">
        <w:rPr>
          <w:rFonts w:cs="Arial"/>
          <w:szCs w:val="20"/>
          <w:lang w:val="nl-NL"/>
        </w:rPr>
        <w:t xml:space="preserve"> </w:t>
      </w:r>
      <w:r w:rsidR="008814A0" w:rsidRPr="009221A6">
        <w:rPr>
          <w:rFonts w:cs="Arial"/>
          <w:szCs w:val="20"/>
          <w:lang w:val="nl-NL"/>
        </w:rPr>
        <w:t>Het risicobudget</w:t>
      </w:r>
      <w:r w:rsidR="008814A0">
        <w:rPr>
          <w:rFonts w:cs="Arial"/>
          <w:szCs w:val="20"/>
          <w:lang w:val="nl-NL"/>
        </w:rPr>
        <w:t xml:space="preserve"> wordt bij deze wegingen en structuur van de matching portefeuille en de return portefeuille evenwichtig gespreid ingezet en </w:t>
      </w:r>
      <w:r w:rsidR="008814A0" w:rsidRPr="009221A6">
        <w:rPr>
          <w:rFonts w:cs="Arial"/>
          <w:szCs w:val="20"/>
          <w:lang w:val="nl-NL"/>
        </w:rPr>
        <w:t xml:space="preserve">niet eenzijdig op één of enkele risicocategorieën. </w:t>
      </w:r>
      <w:r w:rsidR="00862BAF">
        <w:rPr>
          <w:rFonts w:cs="Arial"/>
          <w:szCs w:val="20"/>
          <w:lang w:val="nl-NL"/>
        </w:rPr>
        <w:t xml:space="preserve">Het </w:t>
      </w:r>
      <w:r w:rsidR="001B2EC0">
        <w:rPr>
          <w:rFonts w:cs="Arial"/>
          <w:szCs w:val="20"/>
          <w:lang w:val="nl-NL"/>
        </w:rPr>
        <w:t>fonds</w:t>
      </w:r>
      <w:r w:rsidR="008814A0" w:rsidRPr="009221A6">
        <w:rPr>
          <w:rFonts w:cs="Arial"/>
          <w:szCs w:val="20"/>
          <w:lang w:val="nl-NL"/>
        </w:rPr>
        <w:t xml:space="preserve"> </w:t>
      </w:r>
      <w:r w:rsidR="008814A0">
        <w:rPr>
          <w:rFonts w:cs="Arial"/>
          <w:szCs w:val="20"/>
          <w:lang w:val="nl-NL"/>
        </w:rPr>
        <w:t>belegt niet in beleggings</w:t>
      </w:r>
      <w:r w:rsidR="008814A0" w:rsidRPr="009221A6">
        <w:rPr>
          <w:rFonts w:cs="Arial"/>
          <w:szCs w:val="20"/>
          <w:lang w:val="nl-NL"/>
        </w:rPr>
        <w:t xml:space="preserve">categorieën </w:t>
      </w:r>
      <w:r w:rsidR="008814A0">
        <w:rPr>
          <w:rFonts w:cs="Arial"/>
          <w:szCs w:val="20"/>
          <w:lang w:val="nl-NL"/>
        </w:rPr>
        <w:t xml:space="preserve">of beleggingsfondsen </w:t>
      </w:r>
      <w:r w:rsidR="008814A0" w:rsidRPr="009221A6">
        <w:rPr>
          <w:rFonts w:cs="Arial"/>
          <w:szCs w:val="20"/>
          <w:lang w:val="nl-NL"/>
        </w:rPr>
        <w:t xml:space="preserve">waar </w:t>
      </w:r>
      <w:r w:rsidR="008814A0">
        <w:rPr>
          <w:rFonts w:cs="Arial"/>
          <w:szCs w:val="20"/>
          <w:lang w:val="nl-NL"/>
        </w:rPr>
        <w:t xml:space="preserve">op basis van een risico- en rendementsanalyse </w:t>
      </w:r>
      <w:r w:rsidR="008814A0" w:rsidRPr="009221A6">
        <w:rPr>
          <w:rFonts w:cs="Arial"/>
          <w:szCs w:val="20"/>
          <w:lang w:val="nl-NL"/>
        </w:rPr>
        <w:t>twijfel</w:t>
      </w:r>
      <w:r w:rsidR="008814A0">
        <w:rPr>
          <w:rFonts w:cs="Arial"/>
          <w:szCs w:val="20"/>
          <w:lang w:val="nl-NL"/>
        </w:rPr>
        <w:t xml:space="preserve"> b</w:t>
      </w:r>
      <w:r w:rsidR="008814A0" w:rsidRPr="009221A6">
        <w:rPr>
          <w:rFonts w:cs="Arial"/>
          <w:szCs w:val="20"/>
          <w:lang w:val="nl-NL"/>
        </w:rPr>
        <w:t>estaa</w:t>
      </w:r>
      <w:r w:rsidR="008814A0">
        <w:rPr>
          <w:rFonts w:cs="Arial"/>
          <w:szCs w:val="20"/>
          <w:lang w:val="nl-NL"/>
        </w:rPr>
        <w:t>t</w:t>
      </w:r>
      <w:r w:rsidR="008814A0" w:rsidRPr="009221A6">
        <w:rPr>
          <w:rFonts w:cs="Arial"/>
          <w:szCs w:val="20"/>
          <w:lang w:val="nl-NL"/>
        </w:rPr>
        <w:t xml:space="preserve"> aan de toegevoegde waarde</w:t>
      </w:r>
      <w:r w:rsidR="008814A0">
        <w:rPr>
          <w:rFonts w:cs="Arial"/>
          <w:szCs w:val="20"/>
          <w:lang w:val="nl-NL"/>
        </w:rPr>
        <w:t xml:space="preserve"> voor het realiseren van de beleggingsdoelstellingen. Derivaten worden uitsluitend ingezet om het risicoprofiel te verlagen.</w:t>
      </w:r>
    </w:p>
    <w:p w14:paraId="59A5EEEC" w14:textId="77777777" w:rsidR="008814A0" w:rsidRDefault="008814A0" w:rsidP="008814A0">
      <w:pPr>
        <w:spacing w:line="280" w:lineRule="exact"/>
        <w:rPr>
          <w:rFonts w:cs="Arial"/>
          <w:szCs w:val="20"/>
          <w:lang w:val="nl-NL"/>
        </w:rPr>
      </w:pPr>
    </w:p>
    <w:p w14:paraId="4DCBC5ED" w14:textId="77777777" w:rsidR="008814A0" w:rsidRDefault="008814A0" w:rsidP="008814A0">
      <w:pPr>
        <w:spacing w:after="200" w:line="276" w:lineRule="auto"/>
        <w:rPr>
          <w:rFonts w:cs="Arial"/>
          <w:szCs w:val="20"/>
          <w:lang w:val="nl-NL"/>
        </w:rPr>
      </w:pPr>
      <w:r>
        <w:rPr>
          <w:rFonts w:cs="Arial"/>
          <w:szCs w:val="20"/>
          <w:lang w:val="nl-NL"/>
        </w:rPr>
        <w:t xml:space="preserve">De belangrijkste uitgangspunten van </w:t>
      </w:r>
      <w:r w:rsidR="00DC508C">
        <w:rPr>
          <w:lang w:val="nl-NL"/>
        </w:rPr>
        <w:t>ING CDC Pensioenfonds</w:t>
      </w:r>
      <w:r>
        <w:rPr>
          <w:rFonts w:cs="Arial"/>
          <w:szCs w:val="20"/>
          <w:lang w:val="nl-NL"/>
        </w:rPr>
        <w:t xml:space="preserve"> bij het strategisch beleggingsbeleid en bij de tactische en operationele beleggingskeuzes zijn:</w:t>
      </w:r>
    </w:p>
    <w:p w14:paraId="1DE09464" w14:textId="77777777" w:rsidR="00C87347" w:rsidRPr="00746ADB" w:rsidRDefault="00C87347" w:rsidP="001E699B">
      <w:pPr>
        <w:pStyle w:val="Lijstalinea"/>
        <w:numPr>
          <w:ilvl w:val="1"/>
          <w:numId w:val="46"/>
        </w:numPr>
        <w:tabs>
          <w:tab w:val="left" w:pos="357"/>
        </w:tabs>
        <w:ind w:left="714" w:hanging="357"/>
        <w:jc w:val="both"/>
        <w:rPr>
          <w:lang w:val="nl-NL"/>
        </w:rPr>
      </w:pPr>
      <w:r>
        <w:rPr>
          <w:lang w:val="nl-NL"/>
        </w:rPr>
        <w:t xml:space="preserve">Het fonds belegt om de doelen voor de deelnemer te behalen: </w:t>
      </w:r>
      <w:r w:rsidRPr="00746ADB">
        <w:rPr>
          <w:lang w:val="nl-NL"/>
        </w:rPr>
        <w:t xml:space="preserve">een zo goed mogelijk pensioen tegen een aanvaardbaar risico en een </w:t>
      </w:r>
      <w:r>
        <w:rPr>
          <w:lang w:val="nl-NL"/>
        </w:rPr>
        <w:t>acceptabel kostenniveau. Hierbij wordt rekening gehouden met de pensioenovereenkomst en de Pensioenwet</w:t>
      </w:r>
      <w:r w:rsidRPr="00746ADB">
        <w:rPr>
          <w:lang w:val="nl-NL"/>
        </w:rPr>
        <w:t>;</w:t>
      </w:r>
    </w:p>
    <w:p w14:paraId="4BA97274" w14:textId="77777777" w:rsidR="00C87347" w:rsidRPr="00746ADB" w:rsidRDefault="00C87347" w:rsidP="001E699B">
      <w:pPr>
        <w:pStyle w:val="Lijstalinea"/>
        <w:numPr>
          <w:ilvl w:val="1"/>
          <w:numId w:val="46"/>
        </w:numPr>
        <w:tabs>
          <w:tab w:val="left" w:pos="357"/>
        </w:tabs>
        <w:ind w:left="714" w:hanging="357"/>
        <w:jc w:val="both"/>
        <w:rPr>
          <w:lang w:val="nl-NL"/>
        </w:rPr>
      </w:pPr>
      <w:r>
        <w:rPr>
          <w:lang w:val="nl-NL"/>
        </w:rPr>
        <w:t>Het fonds</w:t>
      </w:r>
      <w:r w:rsidRPr="00746ADB">
        <w:rPr>
          <w:lang w:val="nl-NL"/>
        </w:rPr>
        <w:t xml:space="preserve"> belegt volgens de “prudent person” beginselen, waaronder </w:t>
      </w:r>
      <w:r>
        <w:rPr>
          <w:lang w:val="nl-NL"/>
        </w:rPr>
        <w:t xml:space="preserve">een </w:t>
      </w:r>
      <w:r w:rsidRPr="00746ADB">
        <w:rPr>
          <w:lang w:val="nl-NL"/>
        </w:rPr>
        <w:t>optimale spreiding</w:t>
      </w:r>
      <w:r>
        <w:rPr>
          <w:lang w:val="nl-NL"/>
        </w:rPr>
        <w:t xml:space="preserve"> vanuit risico- en rendementsperspectief. Het fonds richt zich hierbij op lange-termijn waarde-creatie door middel van een toekomstbestendige (“transition ready”) portefeuille</w:t>
      </w:r>
      <w:r w:rsidRPr="00746ADB">
        <w:rPr>
          <w:lang w:val="nl-NL"/>
        </w:rPr>
        <w:t>;</w:t>
      </w:r>
    </w:p>
    <w:p w14:paraId="3E98B9D6" w14:textId="6BAB8310" w:rsidR="00C87347" w:rsidRPr="00746ADB" w:rsidRDefault="00C87347" w:rsidP="001E699B">
      <w:pPr>
        <w:pStyle w:val="Lijstalinea"/>
        <w:numPr>
          <w:ilvl w:val="1"/>
          <w:numId w:val="46"/>
        </w:numPr>
        <w:tabs>
          <w:tab w:val="left" w:pos="357"/>
        </w:tabs>
        <w:ind w:left="714" w:hanging="357"/>
        <w:jc w:val="both"/>
        <w:rPr>
          <w:lang w:val="nl-NL"/>
        </w:rPr>
      </w:pPr>
      <w:r w:rsidRPr="00746ADB">
        <w:rPr>
          <w:lang w:val="nl-NL"/>
        </w:rPr>
        <w:t>De duale doelstelling van nominale rechten beschermen</w:t>
      </w:r>
      <w:r>
        <w:rPr>
          <w:lang w:val="nl-NL"/>
        </w:rPr>
        <w:t xml:space="preserve"> </w:t>
      </w:r>
      <w:r w:rsidRPr="00746ADB">
        <w:rPr>
          <w:lang w:val="nl-NL"/>
        </w:rPr>
        <w:t xml:space="preserve">en rendement genereren om eventueel toeslagen te kunnen verlenen, beheert </w:t>
      </w:r>
      <w:r>
        <w:rPr>
          <w:lang w:val="nl-NL"/>
        </w:rPr>
        <w:t xml:space="preserve">het fonds </w:t>
      </w:r>
      <w:r w:rsidRPr="00746ADB">
        <w:rPr>
          <w:lang w:val="nl-NL"/>
        </w:rPr>
        <w:t>operationeel door de balans in te richten naar een matching portefeuille en een return portefeuille;</w:t>
      </w:r>
    </w:p>
    <w:p w14:paraId="041E1D97" w14:textId="77777777" w:rsidR="00C87347" w:rsidRPr="00746ADB" w:rsidRDefault="00C87347" w:rsidP="001E699B">
      <w:pPr>
        <w:pStyle w:val="Lijstalinea"/>
        <w:numPr>
          <w:ilvl w:val="1"/>
          <w:numId w:val="46"/>
        </w:numPr>
        <w:tabs>
          <w:tab w:val="left" w:pos="357"/>
        </w:tabs>
        <w:ind w:left="714" w:hanging="357"/>
        <w:jc w:val="both"/>
        <w:rPr>
          <w:lang w:val="nl-NL"/>
        </w:rPr>
      </w:pPr>
      <w:r w:rsidRPr="00746ADB">
        <w:rPr>
          <w:lang w:val="nl-NL"/>
        </w:rPr>
        <w:t>Beleggingen beheren met een passieve stijl, tenzij actieve selectie nodig is en aantoonbaar toegevoegde waarde biedt;</w:t>
      </w:r>
    </w:p>
    <w:p w14:paraId="1261CAFA" w14:textId="77777777" w:rsidR="00C87347" w:rsidRDefault="00C87347" w:rsidP="001E699B">
      <w:pPr>
        <w:pStyle w:val="Lijstalinea"/>
        <w:numPr>
          <w:ilvl w:val="1"/>
          <w:numId w:val="46"/>
        </w:numPr>
        <w:tabs>
          <w:tab w:val="left" w:pos="357"/>
        </w:tabs>
        <w:ind w:left="714" w:hanging="357"/>
        <w:jc w:val="both"/>
        <w:rPr>
          <w:lang w:val="nl-NL"/>
        </w:rPr>
      </w:pPr>
      <w:r w:rsidRPr="00746ADB">
        <w:rPr>
          <w:lang w:val="nl-NL"/>
        </w:rPr>
        <w:t xml:space="preserve">Beleggingen moeten begrijpelijk, verhandelbaar (liquiditeit), objectief waardeerbaar zijn en moeten bij aanvang geen onacceptabele risico’s bevatten. </w:t>
      </w:r>
    </w:p>
    <w:p w14:paraId="4CB4973C" w14:textId="77777777" w:rsidR="00C87347" w:rsidRDefault="00C87347" w:rsidP="001E699B">
      <w:pPr>
        <w:pStyle w:val="Lijstalinea"/>
        <w:numPr>
          <w:ilvl w:val="1"/>
          <w:numId w:val="46"/>
        </w:numPr>
        <w:tabs>
          <w:tab w:val="left" w:pos="357"/>
        </w:tabs>
        <w:ind w:left="714" w:hanging="357"/>
        <w:jc w:val="both"/>
        <w:rPr>
          <w:lang w:val="nl-NL"/>
        </w:rPr>
      </w:pPr>
      <w:r>
        <w:rPr>
          <w:lang w:val="nl-NL"/>
        </w:rPr>
        <w:t xml:space="preserve">Risico’s dienen beloond te worden met extra rendement. </w:t>
      </w:r>
      <w:r w:rsidRPr="00746ADB">
        <w:rPr>
          <w:lang w:val="nl-NL"/>
        </w:rPr>
        <w:t xml:space="preserve">Indien beleggingen </w:t>
      </w:r>
      <w:r>
        <w:rPr>
          <w:lang w:val="nl-NL"/>
        </w:rPr>
        <w:t xml:space="preserve">bijvoorbeeld </w:t>
      </w:r>
      <w:r w:rsidRPr="00746ADB">
        <w:rPr>
          <w:lang w:val="nl-NL"/>
        </w:rPr>
        <w:t>minder liquide zijn, dan dient dit liquiditeitsrisico voldoende gecompenseerd te worden met een risicopremie;</w:t>
      </w:r>
    </w:p>
    <w:p w14:paraId="471ABE66" w14:textId="77777777" w:rsidR="00C87347" w:rsidRDefault="00C87347" w:rsidP="001E699B">
      <w:pPr>
        <w:pStyle w:val="Lijstalinea"/>
        <w:numPr>
          <w:ilvl w:val="1"/>
          <w:numId w:val="46"/>
        </w:numPr>
        <w:tabs>
          <w:tab w:val="left" w:pos="357"/>
        </w:tabs>
        <w:ind w:left="714" w:hanging="357"/>
        <w:jc w:val="both"/>
        <w:rPr>
          <w:lang w:val="nl-NL"/>
        </w:rPr>
      </w:pPr>
      <w:r w:rsidRPr="00620A1F">
        <w:rPr>
          <w:lang w:val="nl-NL"/>
        </w:rPr>
        <w:t>Een kostenefficiënte uitvoering van het beleggingsbeleid voegt waarde toe</w:t>
      </w:r>
      <w:r>
        <w:rPr>
          <w:lang w:val="nl-NL"/>
        </w:rPr>
        <w:t>;</w:t>
      </w:r>
    </w:p>
    <w:p w14:paraId="68BF9160" w14:textId="77777777" w:rsidR="00990473" w:rsidRDefault="00C87347" w:rsidP="001E699B">
      <w:pPr>
        <w:pStyle w:val="Lijstalinea"/>
        <w:numPr>
          <w:ilvl w:val="1"/>
          <w:numId w:val="46"/>
        </w:numPr>
        <w:tabs>
          <w:tab w:val="left" w:pos="357"/>
        </w:tabs>
        <w:ind w:left="714" w:hanging="357"/>
        <w:jc w:val="both"/>
        <w:rPr>
          <w:lang w:val="nl-NL"/>
        </w:rPr>
      </w:pPr>
      <w:r w:rsidRPr="00780CD9">
        <w:rPr>
          <w:lang w:val="nl-NL"/>
        </w:rPr>
        <w:t>Onderkennen van risico’s en sturen in de strategische en tactische vermogensverdeling zijn de belangrijkste stappen in het balansbeheer en het beleggingsproces;</w:t>
      </w:r>
      <w:r w:rsidR="00BB4BD3">
        <w:rPr>
          <w:lang w:val="nl-NL"/>
        </w:rPr>
        <w:t xml:space="preserve"> </w:t>
      </w:r>
    </w:p>
    <w:p w14:paraId="5DF19F2A" w14:textId="4F28BBF5" w:rsidR="00B23C1C" w:rsidRPr="00D45007" w:rsidRDefault="00D4553F" w:rsidP="001E699B">
      <w:pPr>
        <w:pStyle w:val="Lijstalinea"/>
        <w:numPr>
          <w:ilvl w:val="1"/>
          <w:numId w:val="46"/>
        </w:numPr>
        <w:tabs>
          <w:tab w:val="left" w:pos="357"/>
        </w:tabs>
        <w:ind w:left="714" w:hanging="357"/>
        <w:jc w:val="both"/>
        <w:rPr>
          <w:lang w:val="nl-NL"/>
        </w:rPr>
      </w:pPr>
      <w:r w:rsidRPr="00780CD9">
        <w:rPr>
          <w:lang w:val="nl-NL"/>
        </w:rPr>
        <w:lastRenderedPageBreak/>
        <w:t xml:space="preserve">ING CDC Pensioenfonds houdt geen rekening met de EU-criteria voor ecologisch duurzame economische activiteiten bij het nemen van </w:t>
      </w:r>
      <w:r w:rsidR="00622460" w:rsidRPr="00780CD9">
        <w:rPr>
          <w:lang w:val="nl-NL"/>
        </w:rPr>
        <w:t>beleggingsbeslissingen</w:t>
      </w:r>
      <w:r w:rsidR="00622460">
        <w:rPr>
          <w:lang w:val="nl-NL"/>
        </w:rPr>
        <w:t>;</w:t>
      </w:r>
    </w:p>
    <w:p w14:paraId="19BDEDF9" w14:textId="25764A2C" w:rsidR="00D45007" w:rsidRDefault="00D4553F" w:rsidP="001E699B">
      <w:pPr>
        <w:pStyle w:val="Lijstalinea"/>
        <w:numPr>
          <w:ilvl w:val="0"/>
          <w:numId w:val="46"/>
        </w:numPr>
        <w:rPr>
          <w:lang w:val="nl-NL"/>
        </w:rPr>
      </w:pPr>
      <w:r w:rsidRPr="006B7705">
        <w:rPr>
          <w:lang w:val="nl-NL"/>
        </w:rPr>
        <w:t xml:space="preserve">ING CDC Pensioenfonds belegt de premies om rendement te behalen om een pensioen te kunnen uitkeren. Om de ongunstige effecten op duurzaamheidsfactoren te kunnen berekenen is veel data nodig. Deze data is kostbaar en de kwaliteit ervan is vaak nog onvoldoende. </w:t>
      </w:r>
      <w:r w:rsidR="00780CD9" w:rsidRPr="006B7705">
        <w:rPr>
          <w:lang w:val="nl-NL"/>
        </w:rPr>
        <w:t xml:space="preserve">Om deze reden houdt ING CDC Pensioenfonds geen rekening met de ongunstige effecten op duurzaamheidsfactoren in haar beleggingsbeslissingen. Dit betekent dat het pensioenfonds geen onderzoek doet naar de negatieve gevolgen van haar beleggingen op mens, milieu, maatschappij en omgeving. </w:t>
      </w:r>
      <w:r w:rsidRPr="006B7705">
        <w:rPr>
          <w:lang w:val="nl-NL"/>
        </w:rPr>
        <w:t xml:space="preserve">ING CDC Pensioenfonds zal dit standpunt </w:t>
      </w:r>
      <w:r w:rsidR="00622460">
        <w:rPr>
          <w:lang w:val="nl-NL"/>
        </w:rPr>
        <w:t xml:space="preserve">periodiek </w:t>
      </w:r>
      <w:r w:rsidR="000527B1">
        <w:rPr>
          <w:lang w:val="nl-NL"/>
        </w:rPr>
        <w:t>her</w:t>
      </w:r>
      <w:r w:rsidR="00780CD9" w:rsidRPr="006B7705">
        <w:rPr>
          <w:lang w:val="nl-NL"/>
        </w:rPr>
        <w:t>b</w:t>
      </w:r>
      <w:r w:rsidRPr="006B7705">
        <w:rPr>
          <w:lang w:val="nl-NL"/>
        </w:rPr>
        <w:t>eoordelen</w:t>
      </w:r>
      <w:r w:rsidR="00D45007">
        <w:rPr>
          <w:lang w:val="nl-NL"/>
        </w:rPr>
        <w:t>;</w:t>
      </w:r>
    </w:p>
    <w:p w14:paraId="54E467D9" w14:textId="5A701AB8" w:rsidR="00223E01" w:rsidRPr="00223E01" w:rsidRDefault="00223E01" w:rsidP="001E699B">
      <w:pPr>
        <w:pStyle w:val="Lijstalinea"/>
        <w:numPr>
          <w:ilvl w:val="0"/>
          <w:numId w:val="46"/>
        </w:numPr>
        <w:rPr>
          <w:lang w:val="nl-NL"/>
        </w:rPr>
      </w:pPr>
      <w:r w:rsidRPr="00223E01">
        <w:rPr>
          <w:lang w:val="nl-NL"/>
        </w:rPr>
        <w:t>De strategische afhankelijkheid van derden moet beperkt blijven om in control te blijven en uitbestedingsrisico’s dienen adequaat te worden beheerst.</w:t>
      </w:r>
    </w:p>
    <w:p w14:paraId="1A3EA9D7" w14:textId="77777777" w:rsidR="00223E01" w:rsidRDefault="00223E01" w:rsidP="001E699B">
      <w:pPr>
        <w:numPr>
          <w:ilvl w:val="0"/>
          <w:numId w:val="46"/>
        </w:numPr>
        <w:rPr>
          <w:lang w:val="nl-NL"/>
        </w:rPr>
      </w:pPr>
      <w:r>
        <w:rPr>
          <w:lang w:val="nl-NL"/>
        </w:rPr>
        <w:t>B</w:t>
      </w:r>
      <w:r w:rsidRPr="00155F96">
        <w:rPr>
          <w:lang w:val="nl-NL"/>
        </w:rPr>
        <w:t>ij gelijke geschiktheid van de geselecteerde uitbestedingspartners/fondsen kie</w:t>
      </w:r>
      <w:r>
        <w:rPr>
          <w:lang w:val="nl-NL"/>
        </w:rPr>
        <w:t xml:space="preserve">st ING CDC Pensioenfonds </w:t>
      </w:r>
      <w:r w:rsidRPr="00155F96">
        <w:rPr>
          <w:lang w:val="nl-NL"/>
        </w:rPr>
        <w:t>een/de ESG-optie</w:t>
      </w:r>
    </w:p>
    <w:p w14:paraId="6B963C0A" w14:textId="77777777" w:rsidR="00223E01" w:rsidRPr="00223E01" w:rsidRDefault="00223E01" w:rsidP="001A4CB4">
      <w:pPr>
        <w:tabs>
          <w:tab w:val="left" w:pos="357"/>
        </w:tabs>
        <w:ind w:left="717" w:hanging="360"/>
        <w:jc w:val="both"/>
        <w:rPr>
          <w:lang w:val="nl-NL"/>
        </w:rPr>
      </w:pPr>
    </w:p>
    <w:p w14:paraId="0BCB53C1" w14:textId="77777777" w:rsidR="00780CD9" w:rsidRPr="00C77D40" w:rsidRDefault="00780CD9" w:rsidP="001A4CB4">
      <w:pPr>
        <w:spacing w:before="100" w:beforeAutospacing="1" w:after="100" w:afterAutospacing="1"/>
        <w:ind w:left="717" w:hanging="360"/>
        <w:rPr>
          <w:lang w:val="nl-NL"/>
        </w:rPr>
      </w:pPr>
    </w:p>
    <w:p w14:paraId="2B3A1303" w14:textId="77777777" w:rsidR="00155F96" w:rsidRDefault="00155F96" w:rsidP="001A4CB4">
      <w:pPr>
        <w:ind w:left="1440"/>
        <w:rPr>
          <w:lang w:val="nl-NL"/>
        </w:rPr>
      </w:pPr>
    </w:p>
    <w:p w14:paraId="794EF4F9" w14:textId="77777777" w:rsidR="009B365C" w:rsidRPr="009B365C" w:rsidRDefault="009B365C" w:rsidP="009B365C">
      <w:pPr>
        <w:pStyle w:val="Lijstalinea"/>
        <w:numPr>
          <w:ilvl w:val="0"/>
          <w:numId w:val="0"/>
        </w:numPr>
        <w:tabs>
          <w:tab w:val="left" w:pos="357"/>
        </w:tabs>
        <w:ind w:left="714"/>
        <w:jc w:val="both"/>
        <w:rPr>
          <w:lang w:val="nl-NL"/>
        </w:rPr>
      </w:pPr>
    </w:p>
    <w:p w14:paraId="35A487E5" w14:textId="42756F10" w:rsidR="008814A0" w:rsidRPr="00C70496" w:rsidRDefault="008814A0" w:rsidP="008814A0">
      <w:pPr>
        <w:spacing w:line="280" w:lineRule="exact"/>
        <w:rPr>
          <w:rFonts w:cs="Arial"/>
          <w:b/>
          <w:sz w:val="24"/>
          <w:szCs w:val="24"/>
          <w:lang w:val="nl-NL"/>
        </w:rPr>
      </w:pPr>
      <w:r w:rsidRPr="00C70496">
        <w:rPr>
          <w:rFonts w:cs="Arial"/>
          <w:b/>
          <w:sz w:val="24"/>
          <w:szCs w:val="24"/>
          <w:lang w:val="nl-NL"/>
        </w:rPr>
        <w:t xml:space="preserve">De besluitvormingsprocessen en de risicobeheerprocedures van </w:t>
      </w:r>
      <w:r w:rsidR="004A6E06">
        <w:rPr>
          <w:rFonts w:cs="Arial"/>
          <w:b/>
          <w:sz w:val="24"/>
          <w:szCs w:val="24"/>
          <w:lang w:val="nl-NL"/>
        </w:rPr>
        <w:t>ING CDC Pensioenfonds</w:t>
      </w:r>
    </w:p>
    <w:p w14:paraId="03FE3A15" w14:textId="77777777" w:rsidR="008814A0" w:rsidRDefault="008814A0" w:rsidP="008814A0">
      <w:pPr>
        <w:spacing w:line="280" w:lineRule="exact"/>
        <w:rPr>
          <w:rFonts w:cs="Arial"/>
          <w:szCs w:val="20"/>
          <w:lang w:val="nl-NL"/>
        </w:rPr>
      </w:pPr>
    </w:p>
    <w:p w14:paraId="4B06DB98" w14:textId="2DCFDBC0" w:rsidR="008814A0" w:rsidRPr="005E617B" w:rsidRDefault="008814A0" w:rsidP="00B6584D">
      <w:pPr>
        <w:spacing w:line="280" w:lineRule="exact"/>
        <w:rPr>
          <w:rFonts w:cs="Arial"/>
          <w:szCs w:val="20"/>
          <w:lang w:val="nl-NL"/>
        </w:rPr>
      </w:pPr>
      <w:r w:rsidRPr="004A6E06">
        <w:rPr>
          <w:rFonts w:cs="Arial"/>
          <w:szCs w:val="20"/>
          <w:lang w:val="nl-NL"/>
        </w:rPr>
        <w:t xml:space="preserve">Het bestuur van </w:t>
      </w:r>
      <w:r w:rsidR="004A6E06" w:rsidRPr="004A6E06">
        <w:rPr>
          <w:rFonts w:cs="Arial"/>
          <w:szCs w:val="20"/>
          <w:lang w:val="nl-NL"/>
        </w:rPr>
        <w:t>ING CDC Pensioenfonds</w:t>
      </w:r>
      <w:r w:rsidRPr="004A6E06">
        <w:rPr>
          <w:rFonts w:cs="Arial"/>
          <w:szCs w:val="20"/>
          <w:lang w:val="nl-NL"/>
        </w:rPr>
        <w:t xml:space="preserve"> is eindverantwoordelijk voor alle activiteiten van </w:t>
      </w:r>
      <w:r w:rsidR="001B2EC0" w:rsidRPr="00E11961">
        <w:rPr>
          <w:rFonts w:cs="Arial"/>
          <w:szCs w:val="20"/>
          <w:lang w:val="nl-NL"/>
        </w:rPr>
        <w:t>het fonds</w:t>
      </w:r>
      <w:r w:rsidRPr="00E11961">
        <w:rPr>
          <w:rFonts w:cs="Arial"/>
          <w:szCs w:val="20"/>
          <w:lang w:val="nl-NL"/>
        </w:rPr>
        <w:t>, inclusief het beleggingsbeleid, de inrichting van de beleggingsorganisatie en het beleggen van de beschikbare gelden in overeenstemming met de beleggingsbeginselen</w:t>
      </w:r>
      <w:r w:rsidRPr="000C575A">
        <w:rPr>
          <w:rFonts w:cs="Arial"/>
          <w:szCs w:val="20"/>
          <w:lang w:val="nl-NL"/>
        </w:rPr>
        <w:t xml:space="preserve"> zoals omschreven in deze Verklaring. Het beleggingsbeleid bevat gedetailleerde richtlijnen voor de matching portefeuille en de return portefeuille. Deze zijn vastgelegd in een</w:t>
      </w:r>
      <w:r w:rsidR="00081F9C" w:rsidRPr="00081F9C">
        <w:rPr>
          <w:rFonts w:cs="Arial"/>
          <w:szCs w:val="20"/>
          <w:lang w:val="nl-NL"/>
        </w:rPr>
        <w:t xml:space="preserve"> </w:t>
      </w:r>
      <w:r w:rsidR="00081F9C">
        <w:rPr>
          <w:rFonts w:cs="Arial"/>
          <w:szCs w:val="20"/>
          <w:lang w:val="nl-NL"/>
        </w:rPr>
        <w:t xml:space="preserve">plan met betrekking tot beleggings- en </w:t>
      </w:r>
      <w:r w:rsidR="00DB4B32">
        <w:rPr>
          <w:rFonts w:cs="Arial"/>
          <w:szCs w:val="20"/>
          <w:lang w:val="nl-NL"/>
        </w:rPr>
        <w:t>renteafdekkingsbeleid</w:t>
      </w:r>
      <w:r w:rsidRPr="000C575A">
        <w:rPr>
          <w:rFonts w:cs="Arial"/>
          <w:szCs w:val="20"/>
          <w:lang w:val="nl-NL"/>
        </w:rPr>
        <w:t xml:space="preserve"> dat tenminste één keer per jaar integraal wordt geëvalueerd. In </w:t>
      </w:r>
      <w:r w:rsidRPr="00171C78">
        <w:rPr>
          <w:rFonts w:cs="Arial"/>
          <w:szCs w:val="20"/>
          <w:lang w:val="nl-NL"/>
        </w:rPr>
        <w:t xml:space="preserve">het </w:t>
      </w:r>
      <w:r w:rsidR="00081F9C">
        <w:rPr>
          <w:rFonts w:cs="Arial"/>
          <w:szCs w:val="20"/>
          <w:lang w:val="nl-NL"/>
        </w:rPr>
        <w:t xml:space="preserve">plan met betrekking tot beleggings- en </w:t>
      </w:r>
      <w:r w:rsidR="00DB4B32">
        <w:rPr>
          <w:rFonts w:cs="Arial"/>
          <w:szCs w:val="20"/>
          <w:lang w:val="nl-NL"/>
        </w:rPr>
        <w:t>renteafdekkingsbeleid</w:t>
      </w:r>
      <w:r w:rsidR="00081F9C">
        <w:rPr>
          <w:rFonts w:cs="Arial"/>
          <w:szCs w:val="20"/>
          <w:lang w:val="nl-NL"/>
        </w:rPr>
        <w:t xml:space="preserve"> </w:t>
      </w:r>
      <w:r w:rsidRPr="00171C78">
        <w:rPr>
          <w:rFonts w:cs="Arial"/>
          <w:szCs w:val="20"/>
          <w:lang w:val="nl-NL"/>
        </w:rPr>
        <w:t xml:space="preserve">zijn ook de risicolimieten vastgelegd. De dagelijkse uitvoering van het beleggingsbeleid is, onder verantwoordelijkheid van het bestuur, opgedragen aan het bestuursbureau van </w:t>
      </w:r>
      <w:r w:rsidR="001B2EC0" w:rsidRPr="004A57E7">
        <w:rPr>
          <w:rFonts w:cs="Arial"/>
          <w:szCs w:val="20"/>
          <w:lang w:val="nl-NL"/>
        </w:rPr>
        <w:t>het fonds</w:t>
      </w:r>
      <w:r w:rsidRPr="007B690B">
        <w:rPr>
          <w:rFonts w:cs="Arial"/>
          <w:szCs w:val="20"/>
          <w:lang w:val="nl-NL"/>
        </w:rPr>
        <w:t>. De beleggingsor</w:t>
      </w:r>
      <w:r w:rsidRPr="00E15F44">
        <w:rPr>
          <w:rFonts w:cs="Arial"/>
          <w:szCs w:val="20"/>
          <w:lang w:val="nl-NL"/>
        </w:rPr>
        <w:t>ganisatie en het beleggingsproces</w:t>
      </w:r>
      <w:r w:rsidRPr="005E617B">
        <w:rPr>
          <w:rFonts w:cs="Arial"/>
          <w:szCs w:val="20"/>
          <w:lang w:val="nl-NL"/>
        </w:rPr>
        <w:t xml:space="preserve"> zijn als volgt:</w:t>
      </w:r>
    </w:p>
    <w:p w14:paraId="61233740" w14:textId="77777777" w:rsidR="008814A0" w:rsidRDefault="008814A0" w:rsidP="008814A0">
      <w:pPr>
        <w:pStyle w:val="Lijstalinea"/>
        <w:widowControl w:val="0"/>
        <w:numPr>
          <w:ilvl w:val="0"/>
          <w:numId w:val="0"/>
        </w:numPr>
        <w:spacing w:before="0" w:after="0" w:line="280" w:lineRule="exact"/>
        <w:ind w:left="720"/>
        <w:rPr>
          <w:rFonts w:cs="Arial"/>
          <w:szCs w:val="20"/>
          <w:lang w:val="nl-NL"/>
        </w:rPr>
      </w:pPr>
    </w:p>
    <w:p w14:paraId="1F0B74B5" w14:textId="111E49BD" w:rsidR="008814A0" w:rsidRPr="00E91DD6" w:rsidRDefault="008814A0" w:rsidP="001E699B">
      <w:pPr>
        <w:pStyle w:val="Lijstalinea"/>
        <w:widowControl w:val="0"/>
        <w:numPr>
          <w:ilvl w:val="0"/>
          <w:numId w:val="43"/>
        </w:numPr>
        <w:spacing w:line="280" w:lineRule="exact"/>
        <w:rPr>
          <w:rFonts w:cs="Arial"/>
          <w:szCs w:val="20"/>
          <w:lang w:val="nl-NL"/>
        </w:rPr>
      </w:pPr>
      <w:r w:rsidRPr="00E15FA0">
        <w:rPr>
          <w:rFonts w:cs="Arial"/>
          <w:szCs w:val="20"/>
          <w:lang w:val="nl-NL"/>
        </w:rPr>
        <w:t>Bestuur:</w:t>
      </w:r>
      <w:r w:rsidRPr="00E15FA0">
        <w:rPr>
          <w:rFonts w:cs="Arial"/>
          <w:szCs w:val="20"/>
          <w:lang w:val="nl-NL"/>
        </w:rPr>
        <w:br/>
        <w:t xml:space="preserve">- </w:t>
      </w:r>
      <w:r w:rsidR="003B79B2" w:rsidRPr="003C6FE5">
        <w:rPr>
          <w:rFonts w:cs="Arial"/>
          <w:szCs w:val="20"/>
          <w:lang w:val="nl-NL"/>
        </w:rPr>
        <w:t>S</w:t>
      </w:r>
      <w:r w:rsidRPr="00A234D6">
        <w:rPr>
          <w:rFonts w:cs="Arial"/>
          <w:szCs w:val="20"/>
          <w:lang w:val="nl-NL"/>
        </w:rPr>
        <w:t xml:space="preserve">telt de beleggingsbeginselen vast en het beleggingsbeleid (waaronder het </w:t>
      </w:r>
      <w:r w:rsidR="00081F9C">
        <w:rPr>
          <w:rFonts w:cs="Arial"/>
          <w:szCs w:val="20"/>
          <w:lang w:val="nl-NL"/>
        </w:rPr>
        <w:t xml:space="preserve">plan met betrekking tot beleggings- en </w:t>
      </w:r>
      <w:r w:rsidR="00DB4B32">
        <w:rPr>
          <w:rFonts w:cs="Arial"/>
          <w:szCs w:val="20"/>
          <w:lang w:val="nl-NL"/>
        </w:rPr>
        <w:t>renteafdekkingsbeleid</w:t>
      </w:r>
      <w:r w:rsidRPr="00A234D6">
        <w:rPr>
          <w:rFonts w:cs="Arial"/>
          <w:szCs w:val="20"/>
          <w:lang w:val="nl-NL"/>
        </w:rPr>
        <w:t>) en besluit over tactische afwijkingen van de strategische portefeuille.</w:t>
      </w:r>
      <w:r w:rsidRPr="00A234D6">
        <w:rPr>
          <w:rFonts w:cs="Arial"/>
          <w:szCs w:val="20"/>
          <w:lang w:val="nl-NL"/>
        </w:rPr>
        <w:br/>
        <w:t xml:space="preserve">- </w:t>
      </w:r>
      <w:r w:rsidR="003B79B2" w:rsidRPr="00A234D6">
        <w:rPr>
          <w:rFonts w:cs="Arial"/>
          <w:szCs w:val="20"/>
          <w:lang w:val="nl-NL"/>
        </w:rPr>
        <w:t>S</w:t>
      </w:r>
      <w:r w:rsidRPr="00A234D6">
        <w:rPr>
          <w:rFonts w:cs="Arial"/>
          <w:szCs w:val="20"/>
          <w:lang w:val="nl-NL"/>
        </w:rPr>
        <w:t>telt de richtlijnen vast voor de organisatie van het beleggingsproces, zowel voor de interne</w:t>
      </w:r>
      <w:r w:rsidRPr="00E70875">
        <w:rPr>
          <w:rFonts w:cs="Arial"/>
          <w:szCs w:val="20"/>
          <w:lang w:val="nl-NL"/>
        </w:rPr>
        <w:t xml:space="preserve"> processen (binnen het bestuursbureau) als de externe processen (bij externe dienstverleners)</w:t>
      </w:r>
      <w:r w:rsidR="00E91DD6">
        <w:rPr>
          <w:rFonts w:cs="Arial"/>
          <w:szCs w:val="20"/>
          <w:lang w:val="nl-NL"/>
        </w:rPr>
        <w:t>.</w:t>
      </w:r>
      <w:r w:rsidRPr="00E91DD6">
        <w:rPr>
          <w:rFonts w:cs="Arial"/>
          <w:szCs w:val="20"/>
          <w:lang w:val="nl-NL"/>
        </w:rPr>
        <w:br/>
        <w:t xml:space="preserve">- </w:t>
      </w:r>
      <w:r w:rsidR="003B79B2" w:rsidRPr="003C6FE5">
        <w:rPr>
          <w:rFonts w:cs="Arial"/>
          <w:szCs w:val="20"/>
          <w:lang w:val="nl-NL"/>
        </w:rPr>
        <w:t>H</w:t>
      </w:r>
      <w:r w:rsidRPr="00A234D6">
        <w:rPr>
          <w:rFonts w:cs="Arial"/>
          <w:szCs w:val="20"/>
          <w:lang w:val="nl-NL"/>
        </w:rPr>
        <w:t>oudt toezicht op de uitvoering: hiertoe zijn rapportageprocessen ingericht vanuit het bestuursbureau en vanuit externe dienstverleners (bewaarorganisatie en vermogensbeheerders)</w:t>
      </w:r>
      <w:r w:rsidR="00E91DD6">
        <w:rPr>
          <w:rFonts w:cs="Arial"/>
          <w:szCs w:val="20"/>
          <w:lang w:val="nl-NL"/>
        </w:rPr>
        <w:t>.</w:t>
      </w:r>
    </w:p>
    <w:p w14:paraId="15891128" w14:textId="5324F3EA" w:rsidR="008814A0" w:rsidRPr="00B46036" w:rsidRDefault="008814A0" w:rsidP="001E699B">
      <w:pPr>
        <w:pStyle w:val="Lijstalinea"/>
        <w:widowControl w:val="0"/>
        <w:numPr>
          <w:ilvl w:val="0"/>
          <w:numId w:val="43"/>
        </w:numPr>
        <w:spacing w:line="280" w:lineRule="exact"/>
        <w:rPr>
          <w:rFonts w:cs="Arial"/>
          <w:szCs w:val="20"/>
          <w:lang w:val="nl-NL"/>
        </w:rPr>
      </w:pPr>
      <w:r w:rsidRPr="003C6FE5">
        <w:rPr>
          <w:rFonts w:cs="Arial"/>
          <w:szCs w:val="20"/>
          <w:lang w:val="nl-NL"/>
        </w:rPr>
        <w:t xml:space="preserve">Bestuursbureau: </w:t>
      </w:r>
      <w:r w:rsidRPr="003C6FE5">
        <w:rPr>
          <w:rFonts w:cs="Arial"/>
          <w:szCs w:val="20"/>
          <w:lang w:val="nl-NL"/>
        </w:rPr>
        <w:br/>
        <w:t xml:space="preserve">- </w:t>
      </w:r>
      <w:r w:rsidR="003B79B2" w:rsidRPr="00A234D6">
        <w:rPr>
          <w:rFonts w:cs="Arial"/>
          <w:szCs w:val="20"/>
          <w:lang w:val="nl-NL"/>
        </w:rPr>
        <w:t>B</w:t>
      </w:r>
      <w:r w:rsidRPr="00A234D6">
        <w:rPr>
          <w:rFonts w:cs="Arial"/>
          <w:szCs w:val="20"/>
          <w:lang w:val="nl-NL"/>
        </w:rPr>
        <w:t>ereidt het beleggingsbeleid voor ten behoeve van het bestuur en adviseert met betrekking tot tactische afwijkingen binnen de strategische bandbreedtes.</w:t>
      </w:r>
      <w:r w:rsidRPr="00A234D6">
        <w:rPr>
          <w:rFonts w:cs="Arial"/>
          <w:szCs w:val="20"/>
          <w:lang w:val="nl-NL"/>
        </w:rPr>
        <w:br/>
      </w:r>
      <w:r w:rsidRPr="00A234D6">
        <w:rPr>
          <w:rFonts w:cs="Arial"/>
          <w:szCs w:val="20"/>
          <w:lang w:val="nl-NL"/>
        </w:rPr>
        <w:lastRenderedPageBreak/>
        <w:t xml:space="preserve">- </w:t>
      </w:r>
      <w:r w:rsidR="003B79B2" w:rsidRPr="00E70875">
        <w:rPr>
          <w:rFonts w:cs="Arial"/>
          <w:szCs w:val="20"/>
          <w:lang w:val="nl-NL"/>
        </w:rPr>
        <w:t>I</w:t>
      </w:r>
      <w:r w:rsidRPr="00E70875">
        <w:rPr>
          <w:rFonts w:cs="Arial"/>
          <w:szCs w:val="20"/>
          <w:lang w:val="nl-NL"/>
        </w:rPr>
        <w:t xml:space="preserve">ntegraal balansbeheer binnen door het bestuur vastgestelde kaders; intern beheer van de matching portefeuille; selectie en monitoring van externe vermogensbeheerders voor de return portefeuille; een en ander binnen de richtlijnen van het </w:t>
      </w:r>
      <w:r w:rsidR="00081F9C">
        <w:rPr>
          <w:rFonts w:cs="Arial"/>
          <w:szCs w:val="20"/>
          <w:lang w:val="nl-NL"/>
        </w:rPr>
        <w:t xml:space="preserve">plan met betrekking tot beleggings- en </w:t>
      </w:r>
      <w:r w:rsidR="00DB4B32">
        <w:rPr>
          <w:rFonts w:cs="Arial"/>
          <w:szCs w:val="20"/>
          <w:lang w:val="nl-NL"/>
        </w:rPr>
        <w:t>renteafdekkingsbeleid</w:t>
      </w:r>
      <w:r w:rsidRPr="00E70875">
        <w:rPr>
          <w:rFonts w:cs="Arial"/>
          <w:szCs w:val="20"/>
          <w:lang w:val="nl-NL"/>
        </w:rPr>
        <w:t>.</w:t>
      </w:r>
      <w:r w:rsidRPr="00E70875">
        <w:rPr>
          <w:rFonts w:cs="Arial"/>
          <w:szCs w:val="20"/>
          <w:lang w:val="nl-NL"/>
        </w:rPr>
        <w:br/>
        <w:t xml:space="preserve">- </w:t>
      </w:r>
      <w:r w:rsidR="003B79B2" w:rsidRPr="00B46036">
        <w:rPr>
          <w:rFonts w:cs="Arial"/>
          <w:szCs w:val="20"/>
          <w:lang w:val="nl-NL"/>
        </w:rPr>
        <w:t>M</w:t>
      </w:r>
      <w:r w:rsidRPr="00B46036">
        <w:rPr>
          <w:rFonts w:cs="Arial"/>
          <w:szCs w:val="20"/>
          <w:lang w:val="nl-NL"/>
        </w:rPr>
        <w:t>onitort de externe dienstverleners (bewaarorganisatie en vermogensbeheerders) en voert het contractmanagement met externe dienstverleners; beheersing van integrale beleggingskosten.</w:t>
      </w:r>
    </w:p>
    <w:p w14:paraId="4663F75C" w14:textId="4BA9B3BF" w:rsidR="008814A0" w:rsidRPr="00DC58DC" w:rsidRDefault="008814A0" w:rsidP="001E699B">
      <w:pPr>
        <w:pStyle w:val="Lijstalinea"/>
        <w:widowControl w:val="0"/>
        <w:numPr>
          <w:ilvl w:val="0"/>
          <w:numId w:val="43"/>
        </w:numPr>
        <w:spacing w:line="280" w:lineRule="exact"/>
        <w:rPr>
          <w:rFonts w:cs="Arial"/>
          <w:szCs w:val="20"/>
          <w:lang w:val="nl-NL"/>
        </w:rPr>
      </w:pPr>
      <w:r w:rsidRPr="00072007">
        <w:rPr>
          <w:rFonts w:cs="Arial"/>
          <w:szCs w:val="20"/>
          <w:lang w:val="nl-NL"/>
        </w:rPr>
        <w:t>(Externe) bewaarorganisatie:</w:t>
      </w:r>
      <w:r w:rsidRPr="00072007">
        <w:rPr>
          <w:rFonts w:cs="Arial"/>
          <w:szCs w:val="20"/>
          <w:lang w:val="nl-NL"/>
        </w:rPr>
        <w:br/>
        <w:t xml:space="preserve">- </w:t>
      </w:r>
      <w:r w:rsidR="003B79B2" w:rsidRPr="008663C4">
        <w:rPr>
          <w:rFonts w:cs="Arial"/>
          <w:szCs w:val="20"/>
          <w:lang w:val="nl-NL"/>
        </w:rPr>
        <w:t>B</w:t>
      </w:r>
      <w:r w:rsidRPr="008663C4">
        <w:rPr>
          <w:rFonts w:cs="Arial"/>
          <w:szCs w:val="20"/>
          <w:lang w:val="nl-NL"/>
        </w:rPr>
        <w:t>ewaring van de beleggingen; beleggingenadministratie; meting &amp; rapportage van beleggingsrendementen; controle op de naleving van beleggingsrichtlijnen; (ondersteuning bij) rapportages.</w:t>
      </w:r>
    </w:p>
    <w:p w14:paraId="0415575F" w14:textId="71F72D1A" w:rsidR="008814A0" w:rsidRPr="003C6FE5" w:rsidRDefault="008814A0" w:rsidP="001E699B">
      <w:pPr>
        <w:pStyle w:val="Lijstalinea"/>
        <w:widowControl w:val="0"/>
        <w:numPr>
          <w:ilvl w:val="0"/>
          <w:numId w:val="43"/>
        </w:numPr>
        <w:spacing w:line="280" w:lineRule="exact"/>
        <w:rPr>
          <w:rFonts w:cs="Arial"/>
          <w:szCs w:val="20"/>
          <w:lang w:val="nl-NL"/>
        </w:rPr>
      </w:pPr>
      <w:r w:rsidRPr="00DC58DC">
        <w:rPr>
          <w:rFonts w:cs="Arial"/>
          <w:szCs w:val="20"/>
          <w:lang w:val="nl-NL"/>
        </w:rPr>
        <w:t>(Externe) vermogensbeheerders:</w:t>
      </w:r>
      <w:r w:rsidRPr="00DC58DC">
        <w:rPr>
          <w:rFonts w:cs="Arial"/>
          <w:szCs w:val="20"/>
          <w:lang w:val="nl-NL"/>
        </w:rPr>
        <w:br/>
        <w:t xml:space="preserve">- </w:t>
      </w:r>
      <w:r w:rsidR="003B79B2" w:rsidRPr="00B6584D">
        <w:rPr>
          <w:rFonts w:cs="Arial"/>
          <w:szCs w:val="20"/>
          <w:lang w:val="nl-NL"/>
        </w:rPr>
        <w:t>B</w:t>
      </w:r>
      <w:r w:rsidRPr="00B6584D">
        <w:rPr>
          <w:rFonts w:cs="Arial"/>
          <w:szCs w:val="20"/>
          <w:lang w:val="nl-NL"/>
        </w:rPr>
        <w:t>eleggen van het aan hen gealloceerde vermogen in overeenstemming met de afgesproken beleggingsrichtlijnen (toegestane instrumenten, benchmark</w:t>
      </w:r>
      <w:r w:rsidR="00367188">
        <w:rPr>
          <w:rFonts w:cs="Arial"/>
          <w:szCs w:val="20"/>
          <w:lang w:val="nl-NL"/>
        </w:rPr>
        <w:t xml:space="preserve"> etc.</w:t>
      </w:r>
      <w:r w:rsidRPr="00B6584D">
        <w:rPr>
          <w:rFonts w:cs="Arial"/>
          <w:szCs w:val="20"/>
          <w:lang w:val="nl-NL"/>
        </w:rPr>
        <w:t>)</w:t>
      </w:r>
      <w:r w:rsidR="00E91DD6">
        <w:rPr>
          <w:rFonts w:cs="Arial"/>
          <w:szCs w:val="20"/>
          <w:lang w:val="nl-NL"/>
        </w:rPr>
        <w:t>.</w:t>
      </w:r>
      <w:r w:rsidRPr="00E91DD6">
        <w:rPr>
          <w:rFonts w:cs="Arial"/>
          <w:szCs w:val="20"/>
          <w:lang w:val="nl-NL"/>
        </w:rPr>
        <w:t xml:space="preserve"> </w:t>
      </w:r>
    </w:p>
    <w:p w14:paraId="41C58DE9" w14:textId="77777777" w:rsidR="008814A0" w:rsidRDefault="008814A0" w:rsidP="008814A0">
      <w:pPr>
        <w:spacing w:line="280" w:lineRule="exact"/>
        <w:rPr>
          <w:rFonts w:cs="Arial"/>
          <w:szCs w:val="20"/>
          <w:lang w:val="nl-NL"/>
        </w:rPr>
      </w:pPr>
    </w:p>
    <w:p w14:paraId="52E1F88A" w14:textId="77777777" w:rsidR="008814A0" w:rsidRPr="00FF0D1C" w:rsidRDefault="008814A0" w:rsidP="008814A0">
      <w:pPr>
        <w:spacing w:line="280" w:lineRule="exact"/>
        <w:rPr>
          <w:rFonts w:cs="Arial"/>
          <w:b/>
          <w:i/>
          <w:szCs w:val="20"/>
          <w:lang w:val="nl-NL"/>
        </w:rPr>
      </w:pPr>
      <w:r w:rsidRPr="00FF0D1C">
        <w:rPr>
          <w:rFonts w:cs="Arial"/>
          <w:b/>
          <w:i/>
          <w:szCs w:val="20"/>
          <w:lang w:val="nl-NL"/>
        </w:rPr>
        <w:t>Toegepaste methoden voor meting en beheersing van beleggingsrisico’s</w:t>
      </w:r>
    </w:p>
    <w:p w14:paraId="42089841" w14:textId="77777777" w:rsidR="008814A0" w:rsidRDefault="008814A0" w:rsidP="008814A0">
      <w:pPr>
        <w:spacing w:line="280" w:lineRule="exact"/>
        <w:rPr>
          <w:rFonts w:cs="Arial"/>
          <w:szCs w:val="20"/>
          <w:lang w:val="nl-NL"/>
        </w:rPr>
      </w:pPr>
      <w:r w:rsidRPr="009221A6">
        <w:rPr>
          <w:rFonts w:cs="Arial"/>
          <w:sz w:val="22"/>
          <w:lang w:val="nl-NL"/>
        </w:rPr>
        <w:br/>
      </w:r>
      <w:r w:rsidR="004A6E06">
        <w:rPr>
          <w:rFonts w:cs="Arial"/>
          <w:szCs w:val="20"/>
          <w:lang w:val="nl-NL"/>
        </w:rPr>
        <w:t>ING CDC Pensioenfonds</w:t>
      </w:r>
      <w:r w:rsidRPr="00E36D28">
        <w:rPr>
          <w:rFonts w:cs="Arial"/>
          <w:szCs w:val="20"/>
          <w:lang w:val="nl-NL"/>
        </w:rPr>
        <w:t xml:space="preserve"> heeft de volgende processen ingericht om de beleggingsrisico’s en de compliance van de uitvoering van het beleggingsbeleid te waarborgen:</w:t>
      </w:r>
    </w:p>
    <w:p w14:paraId="5EC5D273" w14:textId="77777777" w:rsidR="00A35B1D" w:rsidRPr="00E36D28" w:rsidRDefault="00A35B1D" w:rsidP="008814A0">
      <w:pPr>
        <w:spacing w:line="280" w:lineRule="exact"/>
        <w:rPr>
          <w:rFonts w:cs="Arial"/>
          <w:szCs w:val="20"/>
          <w:lang w:val="nl-NL"/>
        </w:rPr>
      </w:pPr>
    </w:p>
    <w:p w14:paraId="662761A3" w14:textId="77777777" w:rsidR="008814A0" w:rsidRPr="00E36D28" w:rsidRDefault="008814A0" w:rsidP="001E699B">
      <w:pPr>
        <w:pStyle w:val="Lijstalinea"/>
        <w:widowControl w:val="0"/>
        <w:numPr>
          <w:ilvl w:val="0"/>
          <w:numId w:val="33"/>
        </w:numPr>
        <w:spacing w:before="0" w:after="0" w:line="280" w:lineRule="exact"/>
        <w:rPr>
          <w:rFonts w:cs="Arial"/>
          <w:szCs w:val="20"/>
          <w:lang w:val="nl-NL"/>
        </w:rPr>
      </w:pPr>
      <w:r w:rsidRPr="00E36D28">
        <w:rPr>
          <w:rFonts w:cs="Arial"/>
          <w:szCs w:val="20"/>
          <w:lang w:val="nl-NL"/>
        </w:rPr>
        <w:t>De pensioenverplichtingen worden maandelijks geactualiseerd (de CDC</w:t>
      </w:r>
      <w:r w:rsidR="00A35B1D">
        <w:rPr>
          <w:rFonts w:cs="Arial"/>
          <w:szCs w:val="20"/>
          <w:lang w:val="nl-NL"/>
        </w:rPr>
        <w:t>-</w:t>
      </w:r>
      <w:r w:rsidRPr="00E36D28">
        <w:rPr>
          <w:rFonts w:cs="Arial"/>
          <w:szCs w:val="20"/>
          <w:lang w:val="nl-NL"/>
        </w:rPr>
        <w:t>pensioenregeling kent maandelijkse pensioenopbouw volgens een middelloon systeem); op dagelijkse basis wordt de actuele waarde van de pensioenverplichtingen berekend volgens zowel de door DNB gehanteerde rekenrente en op marktrente.</w:t>
      </w:r>
    </w:p>
    <w:p w14:paraId="0FD99E95" w14:textId="77777777" w:rsidR="008814A0" w:rsidRPr="00E36D28" w:rsidRDefault="008814A0" w:rsidP="001E699B">
      <w:pPr>
        <w:pStyle w:val="Lijstalinea"/>
        <w:widowControl w:val="0"/>
        <w:numPr>
          <w:ilvl w:val="0"/>
          <w:numId w:val="33"/>
        </w:numPr>
        <w:spacing w:before="0" w:after="0" w:line="280" w:lineRule="exact"/>
        <w:rPr>
          <w:rFonts w:cs="Arial"/>
          <w:szCs w:val="20"/>
          <w:lang w:val="nl-NL"/>
        </w:rPr>
      </w:pPr>
      <w:r w:rsidRPr="00E36D28">
        <w:rPr>
          <w:rFonts w:cs="Arial"/>
          <w:szCs w:val="20"/>
          <w:lang w:val="nl-NL"/>
        </w:rPr>
        <w:t xml:space="preserve">Dagelijks worden alle beleggingen gewaardeerd op marktwaarde; op dagelijkse basis wordt de dekkingsgraad vastgesteld om te bewaken dat geen kritische grenzen worden over- of onderschreden. </w:t>
      </w:r>
    </w:p>
    <w:p w14:paraId="2AA570FA" w14:textId="71CA2C4F" w:rsidR="008814A0" w:rsidRPr="00E36D28" w:rsidRDefault="008814A0" w:rsidP="001E699B">
      <w:pPr>
        <w:pStyle w:val="Lijstalinea"/>
        <w:widowControl w:val="0"/>
        <w:numPr>
          <w:ilvl w:val="0"/>
          <w:numId w:val="33"/>
        </w:numPr>
        <w:spacing w:before="0" w:after="0" w:line="280" w:lineRule="exact"/>
        <w:rPr>
          <w:rFonts w:cs="Arial"/>
          <w:szCs w:val="20"/>
          <w:lang w:val="nl-NL"/>
        </w:rPr>
      </w:pPr>
      <w:r w:rsidRPr="00E36D28">
        <w:rPr>
          <w:rFonts w:cs="Arial"/>
          <w:szCs w:val="20"/>
          <w:lang w:val="nl-NL"/>
        </w:rPr>
        <w:t xml:space="preserve">Bij alle beleggingstransacties wordt gecontroleerd </w:t>
      </w:r>
      <w:r w:rsidR="009D00EE">
        <w:rPr>
          <w:rFonts w:cs="Arial"/>
          <w:szCs w:val="20"/>
          <w:lang w:val="nl-NL"/>
        </w:rPr>
        <w:t>of</w:t>
      </w:r>
      <w:r w:rsidRPr="00E36D28">
        <w:rPr>
          <w:rFonts w:cs="Arial"/>
          <w:szCs w:val="20"/>
          <w:lang w:val="nl-NL"/>
        </w:rPr>
        <w:t xml:space="preserve"> de transactie is toegestaan binnen de richtlijnen van het </w:t>
      </w:r>
      <w:r w:rsidR="00081F9C">
        <w:rPr>
          <w:rFonts w:cs="Arial"/>
          <w:szCs w:val="20"/>
          <w:lang w:val="nl-NL"/>
        </w:rPr>
        <w:t xml:space="preserve">plan met betrekking tot beleggings- en </w:t>
      </w:r>
      <w:r w:rsidR="00DB4B32">
        <w:rPr>
          <w:rFonts w:cs="Arial"/>
          <w:szCs w:val="20"/>
          <w:lang w:val="nl-NL"/>
        </w:rPr>
        <w:t>renteafdekkingsbeleid</w:t>
      </w:r>
      <w:r w:rsidRPr="00E36D28">
        <w:rPr>
          <w:rFonts w:cs="Arial"/>
          <w:szCs w:val="20"/>
          <w:lang w:val="nl-NL"/>
        </w:rPr>
        <w:t xml:space="preserve"> en de gedelegeerde bevoegdheden.</w:t>
      </w:r>
    </w:p>
    <w:p w14:paraId="27EBFF2A" w14:textId="77777777" w:rsidR="008814A0" w:rsidRPr="00E36D28" w:rsidRDefault="008814A0" w:rsidP="001E699B">
      <w:pPr>
        <w:pStyle w:val="Lijstalinea"/>
        <w:widowControl w:val="0"/>
        <w:numPr>
          <w:ilvl w:val="0"/>
          <w:numId w:val="33"/>
        </w:numPr>
        <w:spacing w:before="0" w:after="0" w:line="280" w:lineRule="exact"/>
        <w:rPr>
          <w:rFonts w:cs="Arial"/>
          <w:szCs w:val="20"/>
          <w:lang w:val="nl-NL"/>
        </w:rPr>
      </w:pPr>
      <w:r w:rsidRPr="00E36D28">
        <w:rPr>
          <w:rFonts w:cs="Arial"/>
          <w:szCs w:val="20"/>
          <w:lang w:val="nl-NL"/>
        </w:rPr>
        <w:t>Er zijn processen ingericht bij de externe bewaarorganisatie – met een rapportagelijn naar het bestuursbureau – om dagelijks te kunnen vaststellen dat de wegingen in de balans</w:t>
      </w:r>
      <w:r>
        <w:rPr>
          <w:rFonts w:cs="Arial"/>
          <w:szCs w:val="20"/>
          <w:lang w:val="nl-NL"/>
        </w:rPr>
        <w:t xml:space="preserve"> binnen de afgesproken bandbreedtes blijven.</w:t>
      </w:r>
    </w:p>
    <w:p w14:paraId="23A8A7A8" w14:textId="77777777" w:rsidR="008814A0" w:rsidRPr="00E36D28" w:rsidRDefault="008814A0" w:rsidP="001E699B">
      <w:pPr>
        <w:pStyle w:val="Lijstalinea"/>
        <w:widowControl w:val="0"/>
        <w:numPr>
          <w:ilvl w:val="0"/>
          <w:numId w:val="33"/>
        </w:numPr>
        <w:spacing w:before="0" w:after="0" w:line="280" w:lineRule="exact"/>
        <w:rPr>
          <w:rFonts w:cs="Arial"/>
          <w:szCs w:val="20"/>
          <w:lang w:val="nl-NL"/>
        </w:rPr>
      </w:pPr>
      <w:r w:rsidRPr="00E36D28">
        <w:rPr>
          <w:rFonts w:cs="Arial"/>
          <w:szCs w:val="20"/>
          <w:lang w:val="nl-NL"/>
        </w:rPr>
        <w:t>Er zijn processen en procedures ingericht om incidenten te signaleren en te rapporteren aan de risicomanager binnen het bestuursbureau; de risicomanager rapporteert hierover aan het bestuur</w:t>
      </w:r>
      <w:r>
        <w:rPr>
          <w:rFonts w:cs="Arial"/>
          <w:szCs w:val="20"/>
          <w:lang w:val="nl-NL"/>
        </w:rPr>
        <w:t>; e</w:t>
      </w:r>
      <w:r w:rsidRPr="00B75FEF">
        <w:rPr>
          <w:rFonts w:cs="Arial"/>
          <w:szCs w:val="20"/>
          <w:lang w:val="nl-NL"/>
        </w:rPr>
        <w:t>r is een noodprocedure ingericht voor crisissituaties</w:t>
      </w:r>
      <w:r>
        <w:rPr>
          <w:rFonts w:cs="Arial"/>
          <w:szCs w:val="20"/>
          <w:lang w:val="nl-NL"/>
        </w:rPr>
        <w:t>.</w:t>
      </w:r>
    </w:p>
    <w:p w14:paraId="183490C1" w14:textId="77777777" w:rsidR="008814A0" w:rsidRDefault="008814A0" w:rsidP="001E699B">
      <w:pPr>
        <w:pStyle w:val="Lijstalinea"/>
        <w:widowControl w:val="0"/>
        <w:numPr>
          <w:ilvl w:val="0"/>
          <w:numId w:val="33"/>
        </w:numPr>
        <w:spacing w:before="0" w:after="0" w:line="280" w:lineRule="exact"/>
        <w:rPr>
          <w:rFonts w:cs="Arial"/>
          <w:szCs w:val="20"/>
          <w:lang w:val="nl-NL"/>
        </w:rPr>
      </w:pPr>
      <w:r w:rsidRPr="00E36D28">
        <w:rPr>
          <w:rFonts w:cs="Arial"/>
          <w:szCs w:val="20"/>
          <w:lang w:val="nl-NL"/>
        </w:rPr>
        <w:t>Er zijn “benchmarks” vastgelegd voor de beoordeling van de beleggingsrendementen, de rente-afdekking en de valuta-afdekking. Deze worden maandelijks geanalyseerd.</w:t>
      </w:r>
    </w:p>
    <w:p w14:paraId="33A202D9" w14:textId="77777777" w:rsidR="008814A0" w:rsidRDefault="008814A0" w:rsidP="001E699B">
      <w:pPr>
        <w:pStyle w:val="Lijstalinea"/>
        <w:widowControl w:val="0"/>
        <w:numPr>
          <w:ilvl w:val="0"/>
          <w:numId w:val="33"/>
        </w:numPr>
        <w:spacing w:before="0" w:after="0" w:line="280" w:lineRule="exact"/>
        <w:rPr>
          <w:rFonts w:cs="Arial"/>
          <w:szCs w:val="20"/>
          <w:lang w:val="nl-NL"/>
        </w:rPr>
      </w:pPr>
      <w:r>
        <w:rPr>
          <w:rFonts w:cs="Arial"/>
          <w:szCs w:val="20"/>
          <w:lang w:val="nl-NL"/>
        </w:rPr>
        <w:t>Maandelijks worden kritische risico-maatstaven geactualiseerd en geanalyseerd; deze worden gerapporteerd aan het bestuur; dit betreft onder andere de ontwikkelingen van het risicoprofiel van de balans en de wijze waarop risico’s in de balans zijn verdeeld over de matching portefeuille en return portefeuille.</w:t>
      </w:r>
    </w:p>
    <w:p w14:paraId="6954044A" w14:textId="77777777" w:rsidR="008814A0" w:rsidRPr="002E227B" w:rsidRDefault="008814A0" w:rsidP="008814A0">
      <w:pPr>
        <w:spacing w:line="280" w:lineRule="exact"/>
        <w:rPr>
          <w:rFonts w:cs="Arial"/>
          <w:szCs w:val="20"/>
          <w:lang w:val="nl-NL" w:eastAsia="nl-NL"/>
        </w:rPr>
      </w:pPr>
      <w:r w:rsidRPr="00B75FEF">
        <w:rPr>
          <w:rFonts w:cs="Arial"/>
          <w:szCs w:val="20"/>
          <w:lang w:val="nl-NL"/>
        </w:rPr>
        <w:t xml:space="preserve">. </w:t>
      </w:r>
    </w:p>
    <w:p w14:paraId="57357355" w14:textId="77777777" w:rsidR="008814A0" w:rsidRPr="00697A7C" w:rsidRDefault="008814A0" w:rsidP="00482C6A">
      <w:pPr>
        <w:rPr>
          <w:lang w:val="nl-NL"/>
        </w:rPr>
      </w:pPr>
    </w:p>
    <w:p w14:paraId="389665A9" w14:textId="77777777" w:rsidR="00863274" w:rsidRPr="00697A7C" w:rsidRDefault="00863274" w:rsidP="008814A0">
      <w:pPr>
        <w:rPr>
          <w:lang w:val="nl-NL"/>
        </w:rPr>
      </w:pPr>
    </w:p>
    <w:p w14:paraId="7CC6DFCE" w14:textId="77777777" w:rsidR="00863274" w:rsidRPr="00307CD6" w:rsidRDefault="00863274" w:rsidP="00CA1B5F">
      <w:pPr>
        <w:rPr>
          <w:lang w:val="nl-NL"/>
        </w:rPr>
      </w:pPr>
    </w:p>
    <w:p w14:paraId="7484D2C0" w14:textId="77777777" w:rsidR="00697A7C" w:rsidRDefault="00697A7C">
      <w:pPr>
        <w:spacing w:after="200" w:line="276" w:lineRule="auto"/>
        <w:rPr>
          <w:lang w:val="nl-NL"/>
        </w:rPr>
      </w:pPr>
      <w:r>
        <w:rPr>
          <w:lang w:val="nl-NL"/>
        </w:rPr>
        <w:lastRenderedPageBreak/>
        <w:br w:type="page"/>
      </w:r>
    </w:p>
    <w:p w14:paraId="269605C4" w14:textId="4471EE6F" w:rsidR="00697A7C" w:rsidRPr="00697A7C" w:rsidRDefault="00697A7C" w:rsidP="00697A7C">
      <w:pPr>
        <w:pStyle w:val="Kop1"/>
        <w:numPr>
          <w:ilvl w:val="0"/>
          <w:numId w:val="0"/>
        </w:numPr>
        <w:rPr>
          <w:rFonts w:hint="eastAsia"/>
          <w:lang w:val="nl-NL"/>
        </w:rPr>
      </w:pPr>
      <w:bookmarkStart w:id="65" w:name="_Toc231804787"/>
      <w:r w:rsidRPr="00697A7C">
        <w:rPr>
          <w:lang w:val="nl-NL"/>
        </w:rPr>
        <w:lastRenderedPageBreak/>
        <w:t xml:space="preserve">BIJLAGE </w:t>
      </w:r>
      <w:r w:rsidR="002F06E7">
        <w:rPr>
          <w:lang w:val="nl-NL"/>
        </w:rPr>
        <w:t>4</w:t>
      </w:r>
      <w:r w:rsidRPr="00697A7C">
        <w:rPr>
          <w:lang w:val="nl-NL"/>
        </w:rPr>
        <w:t>: Financieel crisisplan</w:t>
      </w:r>
      <w:bookmarkEnd w:id="65"/>
      <w:r w:rsidRPr="00697A7C">
        <w:rPr>
          <w:lang w:val="nl-NL"/>
        </w:rPr>
        <w:t xml:space="preserve"> </w:t>
      </w:r>
    </w:p>
    <w:p w14:paraId="6467E6F9" w14:textId="77777777" w:rsidR="00697A7C" w:rsidRDefault="00697A7C" w:rsidP="00697A7C">
      <w:pPr>
        <w:rPr>
          <w:lang w:val="nl-NL"/>
        </w:rPr>
      </w:pPr>
    </w:p>
    <w:p w14:paraId="0114D632" w14:textId="77777777" w:rsidR="00697A7C" w:rsidRPr="00697A7C" w:rsidRDefault="00697A7C" w:rsidP="00482C6A">
      <w:pPr>
        <w:rPr>
          <w:lang w:val="nl-NL"/>
        </w:rPr>
      </w:pPr>
    </w:p>
    <w:p w14:paraId="1769F9AF" w14:textId="77777777" w:rsidR="007E557F" w:rsidRPr="00BE5CE2" w:rsidRDefault="007E557F" w:rsidP="007E557F">
      <w:pPr>
        <w:spacing w:after="200" w:line="276" w:lineRule="auto"/>
        <w:rPr>
          <w:b/>
          <w:lang w:val="nl-NL"/>
        </w:rPr>
      </w:pPr>
      <w:r w:rsidRPr="00BE5CE2">
        <w:rPr>
          <w:b/>
          <w:lang w:val="nl-NL"/>
        </w:rPr>
        <w:t>Inleiding</w:t>
      </w:r>
    </w:p>
    <w:p w14:paraId="579C66EC" w14:textId="0F558B8A" w:rsidR="007E557F" w:rsidRDefault="007E557F" w:rsidP="007E557F">
      <w:pPr>
        <w:spacing w:after="200" w:line="276" w:lineRule="auto"/>
        <w:rPr>
          <w:lang w:val="nl-NL"/>
        </w:rPr>
      </w:pPr>
      <w:r>
        <w:rPr>
          <w:lang w:val="nl-NL"/>
        </w:rPr>
        <w:t>ING CDC Pensioenfonds voert de CDC-pensioenregeling uit van IN</w:t>
      </w:r>
      <w:r w:rsidR="005F402F">
        <w:rPr>
          <w:lang w:val="nl-NL"/>
        </w:rPr>
        <w:t>G</w:t>
      </w:r>
      <w:r w:rsidR="003F6F3F">
        <w:rPr>
          <w:lang w:val="nl-NL"/>
        </w:rPr>
        <w:t>.</w:t>
      </w:r>
      <w:r>
        <w:rPr>
          <w:lang w:val="nl-NL"/>
        </w:rPr>
        <w:t xml:space="preserve"> Kenmerkend voor de CDC-pensioenregeling is dat er sprake is van een </w:t>
      </w:r>
      <w:r w:rsidR="00A3617A">
        <w:rPr>
          <w:lang w:val="nl-NL"/>
        </w:rPr>
        <w:t xml:space="preserve">vaste premie </w:t>
      </w:r>
      <w:r>
        <w:rPr>
          <w:lang w:val="nl-NL"/>
        </w:rPr>
        <w:t>en dat de werkgever niet bijbetaalt als de beleidsdekkingsgraad onder de wettelijk voorgeschreven grenzen daalt of als de financiële positie niet toereikend is voor (volledige) toeslagverlening. Deze risico’s liggen bij (het collectief van) de deelnemers.</w:t>
      </w:r>
    </w:p>
    <w:p w14:paraId="2625417E" w14:textId="77777777" w:rsidR="007E557F" w:rsidRPr="00765A75" w:rsidRDefault="007E557F" w:rsidP="007E557F">
      <w:pPr>
        <w:autoSpaceDE w:val="0"/>
        <w:autoSpaceDN w:val="0"/>
        <w:adjustRightInd w:val="0"/>
        <w:rPr>
          <w:lang w:val="nl-NL"/>
        </w:rPr>
      </w:pPr>
      <w:r>
        <w:rPr>
          <w:lang w:val="nl-NL"/>
        </w:rPr>
        <w:t xml:space="preserve">Financiële crisissituaties kunnen ertoe leiden dat reeds toegekende aanspraken en pensioenrechten – in het uiterste geval – moeten worden verminderd om de beleidsdekkingsgraad te herstellen. Het bestuur van ING CDC Pensioenfonds </w:t>
      </w:r>
      <w:r w:rsidRPr="00765A75">
        <w:rPr>
          <w:lang w:val="nl-NL"/>
        </w:rPr>
        <w:t xml:space="preserve">heeft daarom </w:t>
      </w:r>
      <w:r>
        <w:rPr>
          <w:lang w:val="nl-NL"/>
        </w:rPr>
        <w:t>dit</w:t>
      </w:r>
      <w:r w:rsidR="00B50B62">
        <w:rPr>
          <w:lang w:val="nl-NL"/>
        </w:rPr>
        <w:t xml:space="preserve"> financieel</w:t>
      </w:r>
      <w:r w:rsidRPr="00765A75">
        <w:rPr>
          <w:lang w:val="nl-NL"/>
        </w:rPr>
        <w:t xml:space="preserve"> </w:t>
      </w:r>
      <w:r w:rsidR="00B50B62">
        <w:rPr>
          <w:lang w:val="nl-NL"/>
        </w:rPr>
        <w:t>crisis</w:t>
      </w:r>
      <w:r w:rsidRPr="00765A75">
        <w:rPr>
          <w:lang w:val="nl-NL"/>
        </w:rPr>
        <w:t xml:space="preserve">plan opgesteld </w:t>
      </w:r>
      <w:r>
        <w:rPr>
          <w:lang w:val="nl-NL"/>
        </w:rPr>
        <w:t>zodat duidelijk is wat er gebeurt als het fonds</w:t>
      </w:r>
      <w:r w:rsidRPr="00765A75">
        <w:rPr>
          <w:lang w:val="nl-NL"/>
        </w:rPr>
        <w:t xml:space="preserve"> in een crisissituatie terecht komt of dreigt te komen. Dit is nodig om goed voorbereid te zijn op onverwachte gebeurtenissen.</w:t>
      </w:r>
      <w:r>
        <w:rPr>
          <w:lang w:val="nl-NL"/>
        </w:rPr>
        <w:t xml:space="preserve"> Dit plan wordt jaarlijks geëvalueerd en eventueel bijgesteld.</w:t>
      </w:r>
    </w:p>
    <w:p w14:paraId="7E4E4128" w14:textId="77777777" w:rsidR="007E557F" w:rsidRDefault="007E557F" w:rsidP="007E557F">
      <w:pPr>
        <w:autoSpaceDE w:val="0"/>
        <w:autoSpaceDN w:val="0"/>
        <w:adjustRightInd w:val="0"/>
        <w:rPr>
          <w:lang w:val="nl-NL"/>
        </w:rPr>
      </w:pPr>
    </w:p>
    <w:p w14:paraId="1B269930" w14:textId="77777777" w:rsidR="007E557F" w:rsidRPr="00BE5CE2" w:rsidRDefault="007E557F" w:rsidP="007E557F">
      <w:pPr>
        <w:autoSpaceDE w:val="0"/>
        <w:autoSpaceDN w:val="0"/>
        <w:adjustRightInd w:val="0"/>
        <w:rPr>
          <w:b/>
          <w:lang w:val="nl-NL"/>
        </w:rPr>
      </w:pPr>
      <w:r w:rsidRPr="00BE5CE2">
        <w:rPr>
          <w:b/>
          <w:lang w:val="nl-NL"/>
        </w:rPr>
        <w:t>Opzet van het financieel crisisplan</w:t>
      </w:r>
    </w:p>
    <w:p w14:paraId="32CF9171" w14:textId="77777777" w:rsidR="007E557F" w:rsidRPr="00765A75" w:rsidRDefault="007E557F" w:rsidP="007E557F">
      <w:pPr>
        <w:autoSpaceDE w:val="0"/>
        <w:autoSpaceDN w:val="0"/>
        <w:adjustRightInd w:val="0"/>
        <w:rPr>
          <w:lang w:val="nl-NL"/>
        </w:rPr>
      </w:pPr>
    </w:p>
    <w:p w14:paraId="600B6F12" w14:textId="77777777" w:rsidR="007E557F" w:rsidRDefault="007E557F" w:rsidP="007E557F">
      <w:pPr>
        <w:spacing w:after="200" w:line="276" w:lineRule="auto"/>
        <w:rPr>
          <w:lang w:val="nl-NL"/>
        </w:rPr>
      </w:pPr>
      <w:r>
        <w:rPr>
          <w:lang w:val="nl-NL"/>
        </w:rPr>
        <w:t>Het financieel crisisplan beschrijft welke risico’s kunnen leiden tot situaties die het bestuur aanmerkt als crisissituaties, welke maatregelen worden getroffen als crisissituaties zich (dreigen) voor (te) doen en hoe het bestuur in die situaties zal communiceren en ervoor zal zorgdragen dat in die situaties op evenwichtige wijze met alle belangen van de belanghebbenden bij het fonds rekening wordt gehouden. In dit financieel crisisplan komen achtereenvolgens aan de orde:</w:t>
      </w:r>
    </w:p>
    <w:p w14:paraId="31B0E945" w14:textId="77777777" w:rsidR="007E557F" w:rsidRDefault="007E557F" w:rsidP="001E699B">
      <w:pPr>
        <w:pStyle w:val="Lijstalinea"/>
        <w:numPr>
          <w:ilvl w:val="0"/>
          <w:numId w:val="35"/>
        </w:numPr>
        <w:spacing w:before="0" w:after="200" w:line="276" w:lineRule="auto"/>
        <w:rPr>
          <w:lang w:val="nl-NL"/>
        </w:rPr>
      </w:pPr>
      <w:r>
        <w:rPr>
          <w:lang w:val="nl-NL"/>
        </w:rPr>
        <w:t>Risico’s en crisissituaties.</w:t>
      </w:r>
    </w:p>
    <w:p w14:paraId="6AF1CCD6" w14:textId="77777777" w:rsidR="007E557F" w:rsidRDefault="007E557F" w:rsidP="001E699B">
      <w:pPr>
        <w:pStyle w:val="Lijstalinea"/>
        <w:numPr>
          <w:ilvl w:val="0"/>
          <w:numId w:val="35"/>
        </w:numPr>
        <w:spacing w:before="0" w:after="200" w:line="276" w:lineRule="auto"/>
        <w:rPr>
          <w:lang w:val="nl-NL"/>
        </w:rPr>
      </w:pPr>
      <w:r>
        <w:rPr>
          <w:lang w:val="nl-NL"/>
        </w:rPr>
        <w:t>Maatregelen ter voorkoming van crisissituaties en herstel van crises.</w:t>
      </w:r>
    </w:p>
    <w:p w14:paraId="594C269A" w14:textId="77777777" w:rsidR="007E557F" w:rsidRDefault="007E557F" w:rsidP="001E699B">
      <w:pPr>
        <w:pStyle w:val="Lijstalinea"/>
        <w:numPr>
          <w:ilvl w:val="0"/>
          <w:numId w:val="35"/>
        </w:numPr>
        <w:spacing w:before="0" w:after="200" w:line="276" w:lineRule="auto"/>
        <w:rPr>
          <w:lang w:val="nl-NL"/>
        </w:rPr>
      </w:pPr>
      <w:r>
        <w:rPr>
          <w:lang w:val="nl-NL"/>
        </w:rPr>
        <w:t>Kritisch niveau van beleidsdekkingsgraad en inzet van herstel- en kortingsmaatregelen.</w:t>
      </w:r>
    </w:p>
    <w:p w14:paraId="5971BB55" w14:textId="77777777" w:rsidR="007E557F" w:rsidRPr="00762244" w:rsidRDefault="007E557F" w:rsidP="001E699B">
      <w:pPr>
        <w:pStyle w:val="Lijstalinea"/>
        <w:numPr>
          <w:ilvl w:val="0"/>
          <w:numId w:val="35"/>
        </w:numPr>
        <w:spacing w:before="0" w:after="200" w:line="276" w:lineRule="auto"/>
        <w:rPr>
          <w:lang w:val="nl-NL"/>
        </w:rPr>
      </w:pPr>
      <w:r>
        <w:rPr>
          <w:lang w:val="nl-NL"/>
        </w:rPr>
        <w:t>Evenwichtige belangenafweging bij crises en communicatie bij crises.</w:t>
      </w:r>
    </w:p>
    <w:p w14:paraId="7B2CA077" w14:textId="77777777" w:rsidR="007E557F" w:rsidRDefault="007E557F" w:rsidP="007E557F">
      <w:pPr>
        <w:spacing w:after="200" w:line="276" w:lineRule="auto"/>
        <w:rPr>
          <w:lang w:val="nl-NL"/>
        </w:rPr>
      </w:pPr>
      <w:r>
        <w:rPr>
          <w:lang w:val="nl-NL"/>
        </w:rPr>
        <w:t xml:space="preserve">Het plan is als bijlage toegevoegd aan de Actuariële en bedrijfstechnische nota van het fonds. De (integrale) Actuariële en bedrijfstechnische nota (ABTN) en dit financiële crisisplan zijn beschikbaar op de website van het fonds </w:t>
      </w:r>
      <w:r w:rsidR="00B50B62">
        <w:rPr>
          <w:lang w:val="nl-NL"/>
        </w:rPr>
        <w:t xml:space="preserve">(zie </w:t>
      </w:r>
      <w:r>
        <w:rPr>
          <w:lang w:val="nl-NL"/>
        </w:rPr>
        <w:t>ing.cdcpensioen.nl/fondsdocumenten</w:t>
      </w:r>
      <w:r w:rsidR="00B50B62">
        <w:rPr>
          <w:lang w:val="nl-NL"/>
        </w:rPr>
        <w:t>)</w:t>
      </w:r>
      <w:r w:rsidR="00DC508C">
        <w:rPr>
          <w:lang w:val="nl-NL"/>
        </w:rPr>
        <w:t>.</w:t>
      </w:r>
      <w:r>
        <w:rPr>
          <w:lang w:val="nl-NL"/>
        </w:rPr>
        <w:t xml:space="preserve"> Een financiële crisis kan het gevolg zijn van omvangrijke en langdurige beleggingsverliezen. Uitgebreide informatie over het beleggingsbeleid van het fonds is op de website beschikbaar in de Verklaring inzake beleggingsbeginselen </w:t>
      </w:r>
      <w:r w:rsidR="00B50B62">
        <w:rPr>
          <w:lang w:val="nl-NL"/>
        </w:rPr>
        <w:t xml:space="preserve">(zie </w:t>
      </w:r>
      <w:r>
        <w:rPr>
          <w:lang w:val="nl-NL"/>
        </w:rPr>
        <w:t>ing.cdcpensioen.nl/fondsdocumenten</w:t>
      </w:r>
      <w:r w:rsidR="00B50B62">
        <w:rPr>
          <w:lang w:val="nl-NL"/>
        </w:rPr>
        <w:t>)</w:t>
      </w:r>
      <w:r w:rsidR="00DC508C">
        <w:rPr>
          <w:lang w:val="nl-NL"/>
        </w:rPr>
        <w:t>.</w:t>
      </w:r>
      <w:r>
        <w:rPr>
          <w:lang w:val="nl-NL"/>
        </w:rPr>
        <w:t xml:space="preserve"> </w:t>
      </w:r>
    </w:p>
    <w:p w14:paraId="7A14E758" w14:textId="77777777" w:rsidR="007E557F" w:rsidRPr="00D56F12" w:rsidRDefault="007E557F" w:rsidP="001E699B">
      <w:pPr>
        <w:pStyle w:val="Lijstalinea"/>
        <w:numPr>
          <w:ilvl w:val="0"/>
          <w:numId w:val="36"/>
        </w:numPr>
        <w:spacing w:before="0" w:after="200" w:line="276" w:lineRule="auto"/>
        <w:rPr>
          <w:b/>
          <w:lang w:val="nl-NL"/>
        </w:rPr>
      </w:pPr>
      <w:r w:rsidRPr="00D56F12">
        <w:rPr>
          <w:b/>
          <w:lang w:val="nl-NL"/>
        </w:rPr>
        <w:t>Risico’s en crisissituaties</w:t>
      </w:r>
    </w:p>
    <w:p w14:paraId="0EFC0D63" w14:textId="77777777" w:rsidR="007E557F" w:rsidRDefault="007E557F" w:rsidP="007E557F">
      <w:pPr>
        <w:spacing w:after="200" w:line="276" w:lineRule="auto"/>
        <w:rPr>
          <w:lang w:val="nl-NL"/>
        </w:rPr>
      </w:pPr>
      <w:r>
        <w:rPr>
          <w:lang w:val="nl-NL"/>
        </w:rPr>
        <w:t xml:space="preserve">Pensioenuitvoering gaat samen met operationele en financiële risico’s. In de organisatie van ING CDC Pensioenfonds zijn maatregelen getroffen om risico’s doorlopend te beheersen. Dit crisisplan beperkt zich tot de beschrijving van risico’s en crises die zo ingrijpend zijn dat ze gevolgen kunnen hebben voor de continuïteit van het fonds en voor het nakomen van de gedane pensioentoezeggingen. Het fonds onderkent in dat verband de volgende risico’s en daaruit eventueel voortkomende crisissituaties: </w:t>
      </w:r>
    </w:p>
    <w:p w14:paraId="769A5086" w14:textId="32561F19" w:rsidR="007E557F" w:rsidRPr="001342ED" w:rsidRDefault="00FC17B6" w:rsidP="001E699B">
      <w:pPr>
        <w:pStyle w:val="Lijstalinea"/>
        <w:numPr>
          <w:ilvl w:val="1"/>
          <w:numId w:val="36"/>
        </w:numPr>
        <w:spacing w:before="0" w:after="200" w:line="276" w:lineRule="auto"/>
        <w:rPr>
          <w:lang w:val="nl-NL"/>
        </w:rPr>
      </w:pPr>
      <w:r>
        <w:rPr>
          <w:lang w:val="nl-NL"/>
        </w:rPr>
        <w:t xml:space="preserve">Discontinuïteit: </w:t>
      </w:r>
      <w:r w:rsidR="007E557F" w:rsidRPr="001342ED">
        <w:rPr>
          <w:lang w:val="nl-NL"/>
        </w:rPr>
        <w:t xml:space="preserve">Voortijdige beëindiging </w:t>
      </w:r>
      <w:r w:rsidR="007E557F">
        <w:rPr>
          <w:lang w:val="nl-NL"/>
        </w:rPr>
        <w:t xml:space="preserve">of ingrijpende wijziging </w:t>
      </w:r>
      <w:r w:rsidR="007E557F" w:rsidRPr="001342ED">
        <w:rPr>
          <w:lang w:val="nl-NL"/>
        </w:rPr>
        <w:t>van de pensioenovereenkomst en uitvoeringsovereenkomst</w:t>
      </w:r>
      <w:r w:rsidR="007E557F">
        <w:rPr>
          <w:lang w:val="nl-NL"/>
        </w:rPr>
        <w:t xml:space="preserve"> door ING</w:t>
      </w:r>
      <w:r>
        <w:rPr>
          <w:lang w:val="nl-NL"/>
        </w:rPr>
        <w:t xml:space="preserve"> danwel het fonds kan niet invaren in de WTP</w:t>
      </w:r>
      <w:r w:rsidR="007E557F" w:rsidRPr="001342ED">
        <w:rPr>
          <w:lang w:val="nl-NL"/>
        </w:rPr>
        <w:t xml:space="preserve">: dit kan nadelige gevolgen hebben voor de </w:t>
      </w:r>
      <w:r w:rsidR="007E557F">
        <w:rPr>
          <w:lang w:val="nl-NL"/>
        </w:rPr>
        <w:t>verzekerden</w:t>
      </w:r>
      <w:r w:rsidR="007E557F" w:rsidRPr="001342ED">
        <w:rPr>
          <w:lang w:val="nl-NL"/>
        </w:rPr>
        <w:t xml:space="preserve"> omdat het strategisch beleggingsbeleid op lange termijn doelstellingen en verwachtingen is afgestemd</w:t>
      </w:r>
      <w:r w:rsidR="007E557F">
        <w:rPr>
          <w:lang w:val="nl-NL"/>
        </w:rPr>
        <w:t xml:space="preserve"> en uit gaat van voortzetting van </w:t>
      </w:r>
      <w:r w:rsidR="009E325B">
        <w:rPr>
          <w:lang w:val="nl-NL"/>
        </w:rPr>
        <w:t xml:space="preserve">het fonds. </w:t>
      </w:r>
    </w:p>
    <w:p w14:paraId="19102269" w14:textId="77777777" w:rsidR="007E557F" w:rsidRDefault="007E557F" w:rsidP="001E699B">
      <w:pPr>
        <w:pStyle w:val="Lijstalinea"/>
        <w:numPr>
          <w:ilvl w:val="1"/>
          <w:numId w:val="36"/>
        </w:numPr>
        <w:spacing w:before="0" w:after="200" w:line="276" w:lineRule="auto"/>
        <w:rPr>
          <w:lang w:val="nl-NL"/>
        </w:rPr>
      </w:pPr>
      <w:r>
        <w:rPr>
          <w:lang w:val="nl-NL"/>
        </w:rPr>
        <w:lastRenderedPageBreak/>
        <w:t xml:space="preserve">Nadelige ontwikkelingen op de financiële markten kunnen leiden tot een zodanige daling van de beleidsdekkingsgraad, dat het fonds </w:t>
      </w:r>
      <w:r w:rsidRPr="008B6CEB">
        <w:rPr>
          <w:lang w:val="nl-NL"/>
        </w:rPr>
        <w:t xml:space="preserve">al </w:t>
      </w:r>
      <w:r>
        <w:rPr>
          <w:lang w:val="nl-NL"/>
        </w:rPr>
        <w:t>opgebouwde p</w:t>
      </w:r>
      <w:r w:rsidRPr="00BE5CE2">
        <w:rPr>
          <w:lang w:val="nl-NL"/>
        </w:rPr>
        <w:t>ensioenaanspraken en –rechten moet verminderen. Dit betekent dat een korting wordt doorgevoerd op de opgebouwde pensioenaanspraken en ingegane pensioenen</w:t>
      </w:r>
      <w:r>
        <w:rPr>
          <w:lang w:val="nl-NL"/>
        </w:rPr>
        <w:t>.</w:t>
      </w:r>
      <w:r>
        <w:rPr>
          <w:lang w:val="nl-NL"/>
        </w:rPr>
        <w:br/>
      </w:r>
    </w:p>
    <w:p w14:paraId="1B04E832" w14:textId="256AE7AE" w:rsidR="007E557F" w:rsidRDefault="002F06E7" w:rsidP="001E699B">
      <w:pPr>
        <w:pStyle w:val="Lijstalinea"/>
        <w:numPr>
          <w:ilvl w:val="1"/>
          <w:numId w:val="36"/>
        </w:numPr>
        <w:spacing w:before="0" w:after="200" w:line="276" w:lineRule="auto"/>
        <w:rPr>
          <w:lang w:val="nl-NL"/>
        </w:rPr>
      </w:pPr>
      <w:r>
        <w:rPr>
          <w:lang w:val="nl-NL"/>
        </w:rPr>
        <w:t>Renteniveaus die dusdanig laag zijn dat ex ante de premiedekkingsgraad lager is dan 10</w:t>
      </w:r>
      <w:r w:rsidR="003A19D9">
        <w:rPr>
          <w:lang w:val="nl-NL"/>
        </w:rPr>
        <w:t>0</w:t>
      </w:r>
      <w:r>
        <w:rPr>
          <w:lang w:val="nl-NL"/>
        </w:rPr>
        <w:t xml:space="preserve">%. </w:t>
      </w:r>
      <w:r w:rsidR="007E557F">
        <w:rPr>
          <w:lang w:val="nl-NL"/>
        </w:rPr>
        <w:t xml:space="preserve">Bij een CDC-pensioenregeling wordt de premie vooraf vastgesteld. Jaarlijks toetst het fonds per </w:t>
      </w:r>
      <w:r>
        <w:rPr>
          <w:lang w:val="nl-NL"/>
        </w:rPr>
        <w:t>30 september</w:t>
      </w:r>
      <w:r w:rsidR="007E557F">
        <w:rPr>
          <w:lang w:val="nl-NL"/>
        </w:rPr>
        <w:t xml:space="preserve"> of de premie toereikend is voor het nagestreefde (pensioen-) opbouwpercentage</w:t>
      </w:r>
      <w:r>
        <w:rPr>
          <w:lang w:val="nl-NL"/>
        </w:rPr>
        <w:t xml:space="preserve"> in het jaar erna</w:t>
      </w:r>
      <w:r w:rsidR="007E557F">
        <w:rPr>
          <w:lang w:val="nl-NL"/>
        </w:rPr>
        <w:t xml:space="preserve">. Indien dat niet het geval is, dient het opbouwpercentage voor </w:t>
      </w:r>
      <w:r w:rsidR="00A4136D">
        <w:rPr>
          <w:lang w:val="nl-NL"/>
        </w:rPr>
        <w:t>het komende</w:t>
      </w:r>
      <w:r w:rsidR="007E557F">
        <w:rPr>
          <w:lang w:val="nl-NL"/>
        </w:rPr>
        <w:t xml:space="preserve"> jaar verlaagd te worden. </w:t>
      </w:r>
      <w:r w:rsidR="007E557F">
        <w:rPr>
          <w:lang w:val="nl-NL"/>
        </w:rPr>
        <w:br/>
      </w:r>
    </w:p>
    <w:p w14:paraId="264C75AC" w14:textId="77777777" w:rsidR="007E557F" w:rsidRDefault="007E557F" w:rsidP="001E699B">
      <w:pPr>
        <w:pStyle w:val="Lijstalinea"/>
        <w:numPr>
          <w:ilvl w:val="1"/>
          <w:numId w:val="36"/>
        </w:numPr>
        <w:spacing w:before="0" w:after="200" w:line="276" w:lineRule="auto"/>
        <w:rPr>
          <w:lang w:val="nl-NL"/>
        </w:rPr>
      </w:pPr>
      <w:r>
        <w:rPr>
          <w:lang w:val="nl-NL"/>
        </w:rPr>
        <w:t>Een fraude of claim tot schadevergoeding met significante impact op het pensioenvermogen.</w:t>
      </w:r>
      <w:r>
        <w:rPr>
          <w:lang w:val="nl-NL"/>
        </w:rPr>
        <w:br/>
      </w:r>
    </w:p>
    <w:p w14:paraId="5E4B011A" w14:textId="77777777" w:rsidR="007E557F" w:rsidRPr="00BE5CE2" w:rsidRDefault="007E557F" w:rsidP="001E699B">
      <w:pPr>
        <w:pStyle w:val="Lijstalinea"/>
        <w:numPr>
          <w:ilvl w:val="0"/>
          <w:numId w:val="36"/>
        </w:numPr>
        <w:spacing w:before="0" w:after="200" w:line="276" w:lineRule="auto"/>
        <w:rPr>
          <w:b/>
          <w:lang w:val="nl-NL"/>
        </w:rPr>
      </w:pPr>
      <w:r w:rsidRPr="00BE5CE2">
        <w:rPr>
          <w:b/>
          <w:lang w:val="nl-NL"/>
        </w:rPr>
        <w:t>Maatregelen ter voorkoming van crisissituaties en herstel van crises</w:t>
      </w:r>
    </w:p>
    <w:p w14:paraId="7E76366E" w14:textId="2CF3C0E0" w:rsidR="007E557F" w:rsidRPr="004158CC" w:rsidRDefault="007E557F" w:rsidP="007E557F">
      <w:pPr>
        <w:spacing w:after="200" w:line="276" w:lineRule="auto"/>
        <w:ind w:left="1410" w:hanging="690"/>
        <w:rPr>
          <w:b/>
          <w:lang w:val="nl-NL"/>
        </w:rPr>
      </w:pPr>
      <w:r w:rsidRPr="004158CC">
        <w:rPr>
          <w:b/>
          <w:lang w:val="nl-NL"/>
        </w:rPr>
        <w:t>2.1</w:t>
      </w:r>
      <w:r w:rsidRPr="004158CC">
        <w:rPr>
          <w:b/>
          <w:lang w:val="nl-NL"/>
        </w:rPr>
        <w:tab/>
      </w:r>
      <w:r w:rsidR="00FC17B6">
        <w:rPr>
          <w:b/>
          <w:lang w:val="nl-NL"/>
        </w:rPr>
        <w:t>Discontinuïteit</w:t>
      </w:r>
    </w:p>
    <w:p w14:paraId="1813210F" w14:textId="23B59AE4" w:rsidR="007E557F" w:rsidRDefault="007E557F" w:rsidP="007E557F">
      <w:pPr>
        <w:spacing w:after="200" w:line="276" w:lineRule="auto"/>
        <w:rPr>
          <w:lang w:val="nl-NL"/>
        </w:rPr>
      </w:pPr>
      <w:r>
        <w:rPr>
          <w:lang w:val="nl-NL"/>
        </w:rPr>
        <w:t>Het strategisch beleggingsbeleid van het fonds is gericht op de lange termijn en gaat uit van voortzetting van de (uitvoering van de) pensioenregeling. Indien dit uitgangspunt moet worden bijgesteld, dan kan dat nadelige gevolgen hebben voor de op dat moment aanwezige pensioenaanspraken en -rechten.</w:t>
      </w:r>
    </w:p>
    <w:p w14:paraId="30E8031C" w14:textId="77777777" w:rsidR="007E557F" w:rsidRDefault="007E557F" w:rsidP="007E557F">
      <w:pPr>
        <w:spacing w:after="200" w:line="276" w:lineRule="auto"/>
        <w:rPr>
          <w:lang w:val="nl-NL"/>
        </w:rPr>
      </w:pPr>
      <w:r>
        <w:rPr>
          <w:lang w:val="nl-NL"/>
        </w:rPr>
        <w:t xml:space="preserve">Het bestuur van ING CDC Pensioenfonds is zich bewust van dit risico. Het fonds voert op regelmatige basis overleg met de werkgever en de werknemersorganisaties </w:t>
      </w:r>
      <w:r w:rsidRPr="00BE5CE2">
        <w:rPr>
          <w:lang w:val="nl-NL"/>
        </w:rPr>
        <w:t xml:space="preserve">over de financiële positie en </w:t>
      </w:r>
      <w:r>
        <w:rPr>
          <w:lang w:val="nl-NL"/>
        </w:rPr>
        <w:t xml:space="preserve">de </w:t>
      </w:r>
      <w:r w:rsidRPr="00BE5CE2">
        <w:rPr>
          <w:lang w:val="nl-NL"/>
        </w:rPr>
        <w:t xml:space="preserve">risicohouding van het fonds, evenals andere </w:t>
      </w:r>
      <w:r>
        <w:rPr>
          <w:lang w:val="nl-NL"/>
        </w:rPr>
        <w:t>ontwikkelingen en de verwachtingen van het fonds. Het fonds heeft een convenant afgesloten met ING en de bij de pensioenovereenkomst betrokken vakorganisaties, op basis waarvan partijen elkaar vroegtijdig informeren over voorgenomen strategische beleidskeuzes en voorgenomen wijzigingen in de pensioenovereenkomst.</w:t>
      </w:r>
    </w:p>
    <w:p w14:paraId="48E2F726" w14:textId="77558B1D" w:rsidR="00FC17B6" w:rsidRDefault="00FC17B6" w:rsidP="007E557F">
      <w:pPr>
        <w:spacing w:after="200" w:line="276" w:lineRule="auto"/>
        <w:rPr>
          <w:lang w:val="nl-NL"/>
        </w:rPr>
      </w:pPr>
      <w:r>
        <w:rPr>
          <w:lang w:val="nl-NL"/>
        </w:rPr>
        <w:t xml:space="preserve">Verder is het fonds druk doende met de beleidsvorming in het kader van invaren in de WTP. Het fonds heeft hiertoe een projectorganisatie, waarbij in werkgroepen en middels plenaire sessies de beleidsvoorbereiding wordt georganiseerd. Het bestuur voert op regelmatige basis overleg met VO en RvT om elkaar vroegtijdig te informeren. Tevens heeft het fonds regelmatig overleg gevoerd met sociale partners over het transitieplan. </w:t>
      </w:r>
    </w:p>
    <w:p w14:paraId="0DEBAD8D" w14:textId="77777777" w:rsidR="00FC17B6" w:rsidRDefault="00FC17B6" w:rsidP="007E557F">
      <w:pPr>
        <w:spacing w:after="200" w:line="276" w:lineRule="auto"/>
        <w:rPr>
          <w:lang w:val="nl-NL"/>
        </w:rPr>
      </w:pPr>
    </w:p>
    <w:p w14:paraId="4FCC07A9" w14:textId="77777777" w:rsidR="007E557F" w:rsidRPr="00224701" w:rsidRDefault="007E557F" w:rsidP="007E557F">
      <w:pPr>
        <w:spacing w:after="200" w:line="276" w:lineRule="auto"/>
        <w:ind w:firstLine="708"/>
        <w:rPr>
          <w:b/>
          <w:lang w:val="nl-NL"/>
        </w:rPr>
      </w:pPr>
      <w:r w:rsidRPr="00224701">
        <w:rPr>
          <w:b/>
          <w:lang w:val="nl-NL"/>
        </w:rPr>
        <w:t>2.2</w:t>
      </w:r>
      <w:r w:rsidRPr="00224701">
        <w:rPr>
          <w:b/>
          <w:lang w:val="nl-NL"/>
        </w:rPr>
        <w:tab/>
      </w:r>
      <w:r>
        <w:rPr>
          <w:b/>
          <w:lang w:val="nl-NL"/>
        </w:rPr>
        <w:t>Sterk nadelige ontwikkelingen op de financiële markten</w:t>
      </w:r>
    </w:p>
    <w:p w14:paraId="614ECAF7" w14:textId="77777777" w:rsidR="007E557F" w:rsidRDefault="007E557F" w:rsidP="007E557F">
      <w:pPr>
        <w:spacing w:line="280" w:lineRule="exact"/>
        <w:rPr>
          <w:lang w:val="nl-NL"/>
        </w:rPr>
      </w:pPr>
      <w:r>
        <w:rPr>
          <w:lang w:val="nl-NL"/>
        </w:rPr>
        <w:t>ING CDC Pensioenfonds</w:t>
      </w:r>
      <w:r w:rsidRPr="00224701">
        <w:rPr>
          <w:lang w:val="nl-NL"/>
        </w:rPr>
        <w:t xml:space="preserve"> voert een CDC</w:t>
      </w:r>
      <w:r>
        <w:rPr>
          <w:lang w:val="nl-NL"/>
        </w:rPr>
        <w:t>-</w:t>
      </w:r>
      <w:r w:rsidRPr="00224701">
        <w:rPr>
          <w:lang w:val="nl-NL"/>
        </w:rPr>
        <w:t xml:space="preserve">pensioenregeling uit met een nominale pensioenambitie en </w:t>
      </w:r>
      <w:r>
        <w:rPr>
          <w:lang w:val="nl-NL"/>
        </w:rPr>
        <w:t xml:space="preserve">met een </w:t>
      </w:r>
      <w:r w:rsidRPr="00224701">
        <w:rPr>
          <w:lang w:val="nl-NL"/>
        </w:rPr>
        <w:t>voorwaardelijke toeslag</w:t>
      </w:r>
      <w:r>
        <w:rPr>
          <w:lang w:val="nl-NL"/>
        </w:rPr>
        <w:t>verlening</w:t>
      </w:r>
      <w:r w:rsidRPr="00224701">
        <w:rPr>
          <w:lang w:val="nl-NL"/>
        </w:rPr>
        <w:t xml:space="preserve">. Het strategisch beleggingsbeleid is zodanig gekozen dat voldaan is aan de wettelijk voorgeschreven zekerheidsmaat ten aanzien van de opgebouwde pensioenen. Door </w:t>
      </w:r>
      <w:r>
        <w:rPr>
          <w:lang w:val="nl-NL"/>
        </w:rPr>
        <w:t xml:space="preserve">sterk nadelige ontwikkelingen op de financiële markten kunnen </w:t>
      </w:r>
      <w:r w:rsidRPr="00224701">
        <w:rPr>
          <w:lang w:val="nl-NL"/>
        </w:rPr>
        <w:t>de buffers</w:t>
      </w:r>
      <w:r>
        <w:rPr>
          <w:lang w:val="nl-NL"/>
        </w:rPr>
        <w:t xml:space="preserve"> worden</w:t>
      </w:r>
      <w:r w:rsidRPr="00224701">
        <w:rPr>
          <w:lang w:val="nl-NL"/>
        </w:rPr>
        <w:t xml:space="preserve"> aangetast en neemt de zekerheidsmaat </w:t>
      </w:r>
      <w:r>
        <w:rPr>
          <w:lang w:val="nl-NL"/>
        </w:rPr>
        <w:t xml:space="preserve">van het opgebouwde pensioen </w:t>
      </w:r>
      <w:r w:rsidRPr="00224701">
        <w:rPr>
          <w:lang w:val="nl-NL"/>
        </w:rPr>
        <w:t xml:space="preserve">af. Dit kan het gevolg zijn van (langdurig) lage rentes, (aanhoudende) verliezen op de beleggingen in de return portefeuille of door combinaties hiervan. Indien als gevolg hiervan de beleidsdekkingsgraad daalt beneden het </w:t>
      </w:r>
      <w:r>
        <w:rPr>
          <w:lang w:val="nl-NL"/>
        </w:rPr>
        <w:t xml:space="preserve">wettelijk voorgeschreven niveau, dan moet het fonds een herstelplan opstellen om aan te tonen dat </w:t>
      </w:r>
      <w:r w:rsidRPr="00224701">
        <w:rPr>
          <w:lang w:val="nl-NL"/>
        </w:rPr>
        <w:t xml:space="preserve">het </w:t>
      </w:r>
      <w:r>
        <w:rPr>
          <w:lang w:val="nl-NL"/>
        </w:rPr>
        <w:t xml:space="preserve">zijn buffers </w:t>
      </w:r>
      <w:r w:rsidRPr="00224701">
        <w:rPr>
          <w:lang w:val="nl-NL"/>
        </w:rPr>
        <w:t xml:space="preserve">kan herstellen </w:t>
      </w:r>
      <w:r>
        <w:rPr>
          <w:lang w:val="nl-NL"/>
        </w:rPr>
        <w:t xml:space="preserve">binnen </w:t>
      </w:r>
      <w:r w:rsidRPr="00224701">
        <w:rPr>
          <w:lang w:val="nl-NL"/>
        </w:rPr>
        <w:t xml:space="preserve">de </w:t>
      </w:r>
      <w:r>
        <w:rPr>
          <w:lang w:val="nl-NL"/>
        </w:rPr>
        <w:t xml:space="preserve">voorgeschreven </w:t>
      </w:r>
      <w:r w:rsidRPr="00224701">
        <w:rPr>
          <w:lang w:val="nl-NL"/>
        </w:rPr>
        <w:t>termijn</w:t>
      </w:r>
      <w:r>
        <w:rPr>
          <w:lang w:val="nl-NL"/>
        </w:rPr>
        <w:t>. Kan dat niet</w:t>
      </w:r>
      <w:r w:rsidRPr="00224701">
        <w:rPr>
          <w:lang w:val="nl-NL"/>
        </w:rPr>
        <w:t>,</w:t>
      </w:r>
      <w:r>
        <w:rPr>
          <w:lang w:val="nl-NL"/>
        </w:rPr>
        <w:t xml:space="preserve"> </w:t>
      </w:r>
      <w:r w:rsidRPr="00BE5CE2">
        <w:rPr>
          <w:lang w:val="nl-NL"/>
        </w:rPr>
        <w:t xml:space="preserve">dan moet het fonds de </w:t>
      </w:r>
      <w:r w:rsidRPr="00E97380">
        <w:rPr>
          <w:lang w:val="nl-NL"/>
        </w:rPr>
        <w:t xml:space="preserve">al </w:t>
      </w:r>
      <w:r>
        <w:rPr>
          <w:lang w:val="nl-NL"/>
        </w:rPr>
        <w:t>opgebouwde</w:t>
      </w:r>
      <w:r w:rsidRPr="00E97380">
        <w:rPr>
          <w:lang w:val="nl-NL"/>
        </w:rPr>
        <w:t xml:space="preserve"> </w:t>
      </w:r>
      <w:r>
        <w:rPr>
          <w:lang w:val="nl-NL"/>
        </w:rPr>
        <w:t>p</w:t>
      </w:r>
      <w:r w:rsidRPr="00BE5CE2">
        <w:rPr>
          <w:lang w:val="nl-NL"/>
        </w:rPr>
        <w:t>ensioenaanspraken en –rechten korten</w:t>
      </w:r>
      <w:r w:rsidRPr="00224701">
        <w:rPr>
          <w:lang w:val="nl-NL"/>
        </w:rPr>
        <w:t xml:space="preserve">. Onder </w:t>
      </w:r>
      <w:r>
        <w:rPr>
          <w:lang w:val="nl-NL"/>
        </w:rPr>
        <w:t xml:space="preserve">hoofdstuk </w:t>
      </w:r>
      <w:r w:rsidRPr="00224701">
        <w:rPr>
          <w:lang w:val="nl-NL"/>
        </w:rPr>
        <w:t>3 hierna (</w:t>
      </w:r>
      <w:r>
        <w:rPr>
          <w:lang w:val="nl-NL"/>
        </w:rPr>
        <w:t xml:space="preserve">“Kritisch niveau van </w:t>
      </w:r>
      <w:r>
        <w:rPr>
          <w:lang w:val="nl-NL"/>
        </w:rPr>
        <w:lastRenderedPageBreak/>
        <w:t>beleidsdek</w:t>
      </w:r>
      <w:r w:rsidRPr="00224701">
        <w:rPr>
          <w:lang w:val="nl-NL"/>
        </w:rPr>
        <w:t>kingsgraad en inzet van herstel- en kortingsmaatregelen”) wordt toegelicht wanneer dit het geval is en hoe het bestuur zal handelen</w:t>
      </w:r>
      <w:r>
        <w:rPr>
          <w:lang w:val="nl-NL"/>
        </w:rPr>
        <w:t xml:space="preserve"> bij een </w:t>
      </w:r>
      <w:r w:rsidRPr="00BE5CE2">
        <w:rPr>
          <w:lang w:val="nl-NL"/>
        </w:rPr>
        <w:t xml:space="preserve">vermindering (korting) van de </w:t>
      </w:r>
      <w:r w:rsidRPr="003D58D4">
        <w:rPr>
          <w:lang w:val="nl-NL"/>
        </w:rPr>
        <w:t xml:space="preserve">al </w:t>
      </w:r>
      <w:r>
        <w:rPr>
          <w:lang w:val="nl-NL"/>
        </w:rPr>
        <w:t>opgebouwde</w:t>
      </w:r>
      <w:r w:rsidRPr="003D58D4">
        <w:rPr>
          <w:lang w:val="nl-NL"/>
        </w:rPr>
        <w:t xml:space="preserve"> </w:t>
      </w:r>
      <w:r>
        <w:rPr>
          <w:lang w:val="nl-NL"/>
        </w:rPr>
        <w:t>p</w:t>
      </w:r>
      <w:r w:rsidRPr="00BE5CE2">
        <w:rPr>
          <w:lang w:val="nl-NL"/>
        </w:rPr>
        <w:t>ensioenaanspraken en –rechten</w:t>
      </w:r>
      <w:r>
        <w:rPr>
          <w:lang w:val="nl-NL"/>
        </w:rPr>
        <w:t>.</w:t>
      </w:r>
    </w:p>
    <w:p w14:paraId="26CD4724" w14:textId="77777777" w:rsidR="007E557F" w:rsidRDefault="007E557F" w:rsidP="007E557F">
      <w:pPr>
        <w:spacing w:line="280" w:lineRule="exact"/>
        <w:rPr>
          <w:lang w:val="nl-NL"/>
        </w:rPr>
      </w:pPr>
    </w:p>
    <w:p w14:paraId="2C2EE8A7" w14:textId="0903EC8E" w:rsidR="007E557F" w:rsidRDefault="007E557F" w:rsidP="007E557F">
      <w:pPr>
        <w:spacing w:line="280" w:lineRule="exact"/>
        <w:rPr>
          <w:lang w:val="nl-NL"/>
        </w:rPr>
      </w:pPr>
      <w:r>
        <w:rPr>
          <w:lang w:val="nl-NL"/>
        </w:rPr>
        <w:t xml:space="preserve">Verhogen van de premies of extra stortingen door de werkgever zijn niet mogelijk. Indien sprake is van een beleidsdekkingsgraad lager dan </w:t>
      </w:r>
      <w:r w:rsidR="00354C56">
        <w:rPr>
          <w:lang w:val="nl-NL"/>
        </w:rPr>
        <w:t>105</w:t>
      </w:r>
      <w:r>
        <w:rPr>
          <w:lang w:val="nl-NL"/>
        </w:rPr>
        <w:t xml:space="preserve">%, dan wordt geen toeslag verleend. Indien sprake is van een beleidsdekkingsgraad die lager is dan het vereist eigen vermogen dan </w:t>
      </w:r>
      <w:r w:rsidR="001F4955">
        <w:rPr>
          <w:lang w:val="nl-NL"/>
        </w:rPr>
        <w:t>kan</w:t>
      </w:r>
      <w:r>
        <w:rPr>
          <w:lang w:val="nl-NL"/>
        </w:rPr>
        <w:t xml:space="preserve"> de toeslagverlening</w:t>
      </w:r>
      <w:r w:rsidR="001F4955">
        <w:rPr>
          <w:lang w:val="nl-NL"/>
        </w:rPr>
        <w:t xml:space="preserve"> worden</w:t>
      </w:r>
      <w:r>
        <w:rPr>
          <w:lang w:val="nl-NL"/>
        </w:rPr>
        <w:t xml:space="preserve"> beperkt, indien en voor zover dat nodig is voor herstel van de beleidsdekkingsgraad. Daarbij neemt het bestuur de beperkingen aan de toeslagverlening die voortvloeien uit het herstelplan als leidraad.</w:t>
      </w:r>
    </w:p>
    <w:p w14:paraId="1EA00777" w14:textId="77777777" w:rsidR="007E557F" w:rsidRDefault="007E557F" w:rsidP="007E557F">
      <w:pPr>
        <w:spacing w:line="280" w:lineRule="exact"/>
        <w:rPr>
          <w:lang w:val="nl-NL"/>
        </w:rPr>
      </w:pPr>
    </w:p>
    <w:p w14:paraId="7C4B2DEE" w14:textId="788BF7FE" w:rsidR="007E557F" w:rsidRDefault="007E557F" w:rsidP="007E557F">
      <w:pPr>
        <w:spacing w:line="280" w:lineRule="exact"/>
        <w:rPr>
          <w:lang w:val="nl-NL"/>
        </w:rPr>
      </w:pPr>
      <w:r w:rsidRPr="00224701">
        <w:rPr>
          <w:lang w:val="nl-NL"/>
        </w:rPr>
        <w:t xml:space="preserve">In de Verklaring </w:t>
      </w:r>
      <w:r>
        <w:rPr>
          <w:lang w:val="nl-NL"/>
        </w:rPr>
        <w:t xml:space="preserve">inzake </w:t>
      </w:r>
      <w:r w:rsidRPr="00224701">
        <w:rPr>
          <w:lang w:val="nl-NL"/>
        </w:rPr>
        <w:t>beleggingsbeginselen zijn de risico</w:t>
      </w:r>
      <w:r>
        <w:rPr>
          <w:lang w:val="nl-NL"/>
        </w:rPr>
        <w:t>-</w:t>
      </w:r>
      <w:r w:rsidRPr="00224701">
        <w:rPr>
          <w:lang w:val="nl-NL"/>
        </w:rPr>
        <w:t>uitgangspun</w:t>
      </w:r>
      <w:r>
        <w:rPr>
          <w:lang w:val="nl-NL"/>
        </w:rPr>
        <w:t>ten van het beleggingsbeleid beschreven. O</w:t>
      </w:r>
      <w:r w:rsidRPr="00224701">
        <w:rPr>
          <w:rFonts w:cs="Arial"/>
          <w:szCs w:val="20"/>
          <w:lang w:val="nl-NL"/>
        </w:rPr>
        <w:t xml:space="preserve">p dagelijkse basis wordt de dekkingsgraad </w:t>
      </w:r>
      <w:r w:rsidR="00B50B62">
        <w:rPr>
          <w:rFonts w:cs="Arial"/>
          <w:szCs w:val="20"/>
          <w:lang w:val="nl-NL"/>
        </w:rPr>
        <w:t>gemonitord</w:t>
      </w:r>
      <w:r>
        <w:rPr>
          <w:rFonts w:cs="Arial"/>
          <w:szCs w:val="20"/>
          <w:lang w:val="nl-NL"/>
        </w:rPr>
        <w:t xml:space="preserve"> </w:t>
      </w:r>
      <w:r w:rsidRPr="00224701">
        <w:rPr>
          <w:rFonts w:cs="Arial"/>
          <w:szCs w:val="20"/>
          <w:lang w:val="nl-NL"/>
        </w:rPr>
        <w:t xml:space="preserve">om te bewaken dat geen kritische </w:t>
      </w:r>
      <w:r>
        <w:rPr>
          <w:rFonts w:cs="Arial"/>
          <w:szCs w:val="20"/>
          <w:lang w:val="nl-NL"/>
        </w:rPr>
        <w:t xml:space="preserve">(dekkingsgraad-) </w:t>
      </w:r>
      <w:r w:rsidRPr="00224701">
        <w:rPr>
          <w:rFonts w:cs="Arial"/>
          <w:szCs w:val="20"/>
          <w:lang w:val="nl-NL"/>
        </w:rPr>
        <w:t>grenzen worden over- of onderschreden.</w:t>
      </w:r>
      <w:r>
        <w:rPr>
          <w:rFonts w:cs="Arial"/>
          <w:szCs w:val="20"/>
          <w:lang w:val="nl-NL"/>
        </w:rPr>
        <w:t xml:space="preserve"> </w:t>
      </w:r>
      <w:r w:rsidRPr="00224701">
        <w:rPr>
          <w:lang w:val="nl-NL"/>
        </w:rPr>
        <w:t>Te</w:t>
      </w:r>
      <w:r>
        <w:rPr>
          <w:lang w:val="nl-NL"/>
        </w:rPr>
        <w:t>nminste m</w:t>
      </w:r>
      <w:r w:rsidRPr="00224701">
        <w:rPr>
          <w:rFonts w:cs="Arial"/>
          <w:szCs w:val="20"/>
          <w:lang w:val="nl-NL"/>
        </w:rPr>
        <w:t>aandelijks worden kritische risico</w:t>
      </w:r>
      <w:r>
        <w:rPr>
          <w:rFonts w:cs="Arial"/>
          <w:szCs w:val="20"/>
          <w:lang w:val="nl-NL"/>
        </w:rPr>
        <w:t xml:space="preserve">berekeningen </w:t>
      </w:r>
      <w:r w:rsidRPr="00224701">
        <w:rPr>
          <w:rFonts w:cs="Arial"/>
          <w:szCs w:val="20"/>
          <w:lang w:val="nl-NL"/>
        </w:rPr>
        <w:t xml:space="preserve">geactualiseerd en </w:t>
      </w:r>
      <w:r>
        <w:rPr>
          <w:rFonts w:cs="Arial"/>
          <w:szCs w:val="20"/>
          <w:lang w:val="nl-NL"/>
        </w:rPr>
        <w:t xml:space="preserve">besproken in </w:t>
      </w:r>
      <w:r w:rsidRPr="00224701">
        <w:rPr>
          <w:rFonts w:cs="Arial"/>
          <w:szCs w:val="20"/>
          <w:lang w:val="nl-NL"/>
        </w:rPr>
        <w:t>het bestuur</w:t>
      </w:r>
      <w:r>
        <w:rPr>
          <w:rFonts w:cs="Arial"/>
          <w:szCs w:val="20"/>
          <w:lang w:val="nl-NL"/>
        </w:rPr>
        <w:t>. D</w:t>
      </w:r>
      <w:r w:rsidRPr="00224701">
        <w:rPr>
          <w:rFonts w:cs="Arial"/>
          <w:szCs w:val="20"/>
          <w:lang w:val="nl-NL"/>
        </w:rPr>
        <w:t xml:space="preserve">it betreft onder andere de ontwikkelingen van het risicoprofiel van de balans en de wijze waarop </w:t>
      </w:r>
      <w:r>
        <w:rPr>
          <w:rFonts w:cs="Arial"/>
          <w:szCs w:val="20"/>
          <w:lang w:val="nl-NL"/>
        </w:rPr>
        <w:t>beleggings</w:t>
      </w:r>
      <w:r w:rsidRPr="00224701">
        <w:rPr>
          <w:rFonts w:cs="Arial"/>
          <w:szCs w:val="20"/>
          <w:lang w:val="nl-NL"/>
        </w:rPr>
        <w:t xml:space="preserve">risico’s in de balans zijn verdeeld over de matching portefeuille en </w:t>
      </w:r>
      <w:r>
        <w:rPr>
          <w:rFonts w:cs="Arial"/>
          <w:szCs w:val="20"/>
          <w:lang w:val="nl-NL"/>
        </w:rPr>
        <w:t xml:space="preserve">de </w:t>
      </w:r>
      <w:r w:rsidRPr="00224701">
        <w:rPr>
          <w:rFonts w:cs="Arial"/>
          <w:szCs w:val="20"/>
          <w:lang w:val="nl-NL"/>
        </w:rPr>
        <w:t>return portefeuil</w:t>
      </w:r>
      <w:r>
        <w:rPr>
          <w:rFonts w:cs="Arial"/>
          <w:szCs w:val="20"/>
          <w:lang w:val="nl-NL"/>
        </w:rPr>
        <w:t>l</w:t>
      </w:r>
      <w:r w:rsidRPr="00224701">
        <w:rPr>
          <w:rFonts w:cs="Arial"/>
          <w:szCs w:val="20"/>
          <w:lang w:val="nl-NL"/>
        </w:rPr>
        <w:t>e.</w:t>
      </w:r>
      <w:r>
        <w:rPr>
          <w:rFonts w:cs="Arial"/>
          <w:szCs w:val="20"/>
          <w:lang w:val="nl-NL"/>
        </w:rPr>
        <w:t xml:space="preserve"> Op deze wijze wordt het bestuur direct geïnformeerd bij onverwacht sterke dalingen van de dekkingsgraad en bewaakt het bestuur de kritische niveaus van de (beleids-)dekkingsgraad, zodat het bestuur desgewenst kan ingrijpen in het risicoprofiel van de balans door het verhogen van de rente-afdekking en/of het afbouwen van de </w:t>
      </w:r>
      <w:r w:rsidR="00E478C3">
        <w:rPr>
          <w:rFonts w:cs="Arial"/>
          <w:szCs w:val="20"/>
          <w:lang w:val="nl-NL"/>
        </w:rPr>
        <w:t>zakelijke waarden</w:t>
      </w:r>
      <w:r>
        <w:rPr>
          <w:rFonts w:cs="Arial"/>
          <w:szCs w:val="20"/>
          <w:lang w:val="nl-NL"/>
        </w:rPr>
        <w:t>risico’s, voor zover passend binnen de risicohouding van het fonds. Het bestuur heeft hiervoor met het bestuursbureau procedure</w:t>
      </w:r>
      <w:r w:rsidR="001F4955">
        <w:rPr>
          <w:rFonts w:cs="Arial"/>
          <w:szCs w:val="20"/>
          <w:lang w:val="nl-NL"/>
        </w:rPr>
        <w:t>-</w:t>
      </w:r>
      <w:r>
        <w:rPr>
          <w:rFonts w:cs="Arial"/>
          <w:szCs w:val="20"/>
          <w:lang w:val="nl-NL"/>
        </w:rPr>
        <w:t xml:space="preserve"> afspraken gemaakt en er is een noodprocedure vastgelegd. Bij een (dreigende) crisis vindt </w:t>
      </w:r>
      <w:r w:rsidR="00B50B62">
        <w:rPr>
          <w:rFonts w:cs="Arial"/>
          <w:szCs w:val="20"/>
          <w:lang w:val="nl-NL"/>
        </w:rPr>
        <w:t xml:space="preserve">conform de noodprocedure </w:t>
      </w:r>
      <w:r>
        <w:rPr>
          <w:rFonts w:cs="Arial"/>
          <w:szCs w:val="20"/>
          <w:lang w:val="nl-NL"/>
        </w:rPr>
        <w:t xml:space="preserve">een bijzondere bestuursvergadering plaats en kan </w:t>
      </w:r>
      <w:r w:rsidR="00B50B62">
        <w:rPr>
          <w:rFonts w:cs="Arial"/>
          <w:szCs w:val="20"/>
          <w:lang w:val="nl-NL"/>
        </w:rPr>
        <w:t>uiterlijk binnen 24 uur</w:t>
      </w:r>
      <w:r w:rsidR="0048142F">
        <w:rPr>
          <w:rFonts w:cs="Arial"/>
          <w:szCs w:val="20"/>
          <w:lang w:val="nl-NL"/>
        </w:rPr>
        <w:t xml:space="preserve"> </w:t>
      </w:r>
      <w:r>
        <w:rPr>
          <w:rFonts w:cs="Arial"/>
          <w:szCs w:val="20"/>
          <w:lang w:val="nl-NL"/>
        </w:rPr>
        <w:t>worden ingegrepen.</w:t>
      </w:r>
      <w:r>
        <w:rPr>
          <w:rFonts w:cs="Arial"/>
          <w:szCs w:val="20"/>
          <w:lang w:val="nl-NL"/>
        </w:rPr>
        <w:br/>
      </w:r>
    </w:p>
    <w:p w14:paraId="6B2DEB29" w14:textId="77777777" w:rsidR="007E557F" w:rsidRPr="001A3D9F" w:rsidRDefault="007E557F" w:rsidP="007E557F">
      <w:pPr>
        <w:spacing w:after="200" w:line="276" w:lineRule="auto"/>
        <w:ind w:firstLine="708"/>
        <w:rPr>
          <w:b/>
          <w:lang w:val="nl-NL"/>
        </w:rPr>
      </w:pPr>
      <w:r w:rsidRPr="001A3D9F">
        <w:rPr>
          <w:b/>
          <w:lang w:val="nl-NL"/>
        </w:rPr>
        <w:t>2.3</w:t>
      </w:r>
      <w:r w:rsidRPr="001A3D9F">
        <w:rPr>
          <w:b/>
          <w:lang w:val="nl-NL"/>
        </w:rPr>
        <w:tab/>
        <w:t>Ontoereikende premie</w:t>
      </w:r>
    </w:p>
    <w:p w14:paraId="5BA36CB8" w14:textId="7696C140" w:rsidR="007E557F" w:rsidRDefault="007E557F" w:rsidP="007E557F">
      <w:pPr>
        <w:spacing w:after="200" w:line="276" w:lineRule="auto"/>
        <w:rPr>
          <w:lang w:val="nl-NL"/>
        </w:rPr>
      </w:pPr>
      <w:r w:rsidRPr="007E557F">
        <w:rPr>
          <w:rFonts w:cs="Arial"/>
          <w:szCs w:val="20"/>
          <w:lang w:val="nl-NL"/>
        </w:rPr>
        <w:t xml:space="preserve">Het premiepercentage </w:t>
      </w:r>
      <w:r w:rsidR="0010363F">
        <w:rPr>
          <w:rFonts w:cs="Arial"/>
          <w:szCs w:val="20"/>
          <w:lang w:val="nl-NL"/>
        </w:rPr>
        <w:t>voor de opbouw van het ouderdomspensioen en nabestaandenpensioen in</w:t>
      </w:r>
      <w:r w:rsidRPr="007E557F">
        <w:rPr>
          <w:rFonts w:cs="Arial"/>
          <w:szCs w:val="20"/>
          <w:lang w:val="nl-NL"/>
        </w:rPr>
        <w:t xml:space="preserve"> de CDC-pensioenregeling</w:t>
      </w:r>
      <w:r w:rsidR="00D34671">
        <w:rPr>
          <w:rFonts w:cs="Arial"/>
          <w:szCs w:val="20"/>
          <w:lang w:val="nl-NL"/>
        </w:rPr>
        <w:t xml:space="preserve"> is 30,5% van de pensioengrondslag</w:t>
      </w:r>
      <w:r w:rsidRPr="007E557F">
        <w:rPr>
          <w:rFonts w:cs="Arial"/>
          <w:szCs w:val="20"/>
          <w:lang w:val="nl-NL"/>
        </w:rPr>
        <w:t xml:space="preserve">. Uit deze vaste CDC-premie worden eerst de beoogde aanspraken op risicodekking gefinancierd en vervolgens de pensioenaanspraken op opbouwbasis. </w:t>
      </w:r>
      <w:r w:rsidR="00A4136D">
        <w:rPr>
          <w:rFonts w:cs="Arial"/>
          <w:szCs w:val="20"/>
          <w:lang w:val="nl-NL"/>
        </w:rPr>
        <w:t xml:space="preserve">Per 30 september van enig jaar </w:t>
      </w:r>
      <w:r w:rsidRPr="007E557F">
        <w:rPr>
          <w:rFonts w:cs="Arial"/>
          <w:szCs w:val="20"/>
          <w:lang w:val="nl-NL"/>
        </w:rPr>
        <w:t xml:space="preserve">wordt berekend of de vaste premie voor </w:t>
      </w:r>
      <w:r w:rsidR="00A4136D">
        <w:rPr>
          <w:rFonts w:cs="Arial"/>
          <w:szCs w:val="20"/>
          <w:lang w:val="nl-NL"/>
        </w:rPr>
        <w:t>het komende</w:t>
      </w:r>
      <w:r w:rsidRPr="007E557F">
        <w:rPr>
          <w:rFonts w:cs="Arial"/>
          <w:szCs w:val="20"/>
          <w:lang w:val="nl-NL"/>
        </w:rPr>
        <w:t xml:space="preserve"> jaar toereikend is om het beoogde pensioen-opbouwpercentage te financieren.  Wanneer blijkt dat de vooraf afgesproken vaste premie niet voldoende is voor de beoogde pensioenopbouw, zal er in </w:t>
      </w:r>
      <w:r w:rsidR="00A4136D">
        <w:rPr>
          <w:rFonts w:cs="Arial"/>
          <w:szCs w:val="20"/>
          <w:lang w:val="nl-NL"/>
        </w:rPr>
        <w:t>het opvolgende</w:t>
      </w:r>
      <w:r w:rsidRPr="007E557F">
        <w:rPr>
          <w:rFonts w:cs="Arial"/>
          <w:szCs w:val="20"/>
          <w:lang w:val="nl-NL"/>
        </w:rPr>
        <w:t xml:space="preserve"> jaar navenant minder pensioen worden opgebouwd. </w:t>
      </w:r>
      <w:r>
        <w:rPr>
          <w:lang w:val="nl-NL"/>
        </w:rPr>
        <w:t>Verhoging van de vaste premie is niet mogelijk en de premie is dus geen stu</w:t>
      </w:r>
      <w:r w:rsidR="00A4136D">
        <w:rPr>
          <w:lang w:val="nl-NL"/>
        </w:rPr>
        <w:t>rings</w:t>
      </w:r>
      <w:r>
        <w:rPr>
          <w:lang w:val="nl-NL"/>
        </w:rPr>
        <w:t>middel van het fonds.</w:t>
      </w:r>
    </w:p>
    <w:p w14:paraId="5CFDD587" w14:textId="77777777" w:rsidR="00A4136D" w:rsidRDefault="00A4136D" w:rsidP="00A4136D">
      <w:pPr>
        <w:spacing w:after="200" w:line="276" w:lineRule="auto"/>
        <w:ind w:firstLine="708"/>
        <w:rPr>
          <w:lang w:val="nl-NL"/>
        </w:rPr>
      </w:pPr>
      <w:r>
        <w:rPr>
          <w:b/>
          <w:lang w:val="nl-NL"/>
        </w:rPr>
        <w:t>2.4</w:t>
      </w:r>
      <w:r w:rsidRPr="001A3D9F">
        <w:rPr>
          <w:b/>
          <w:lang w:val="nl-NL"/>
        </w:rPr>
        <w:tab/>
      </w:r>
      <w:r w:rsidRPr="009D3642">
        <w:rPr>
          <w:b/>
          <w:lang w:val="nl-NL"/>
        </w:rPr>
        <w:t>Een fraude of claim tot schadevergoeding met significante impact op het pensioenvermogen</w:t>
      </w:r>
    </w:p>
    <w:p w14:paraId="10F57B48" w14:textId="77777777" w:rsidR="00A4136D" w:rsidRDefault="00A4136D" w:rsidP="00A4136D">
      <w:pPr>
        <w:spacing w:after="200" w:line="276" w:lineRule="auto"/>
        <w:rPr>
          <w:lang w:val="nl-NL"/>
        </w:rPr>
      </w:pPr>
      <w:r>
        <w:rPr>
          <w:lang w:val="nl-NL"/>
        </w:rPr>
        <w:t>Het fonds heeft een aantal beheersmaatregelen geïmplementeerd om het risico op fraude te verlagen:</w:t>
      </w:r>
    </w:p>
    <w:p w14:paraId="34872777" w14:textId="77777777" w:rsidR="00A4136D" w:rsidRDefault="00A4136D" w:rsidP="00A4136D">
      <w:pPr>
        <w:spacing w:after="200" w:line="276" w:lineRule="auto"/>
        <w:rPr>
          <w:lang w:val="nl-NL"/>
        </w:rPr>
      </w:pPr>
    </w:p>
    <w:p w14:paraId="4001BD72" w14:textId="77777777" w:rsidR="00A4136D" w:rsidRDefault="00A4136D" w:rsidP="001E699B">
      <w:pPr>
        <w:pStyle w:val="Lijstalinea"/>
        <w:numPr>
          <w:ilvl w:val="0"/>
          <w:numId w:val="49"/>
        </w:numPr>
        <w:spacing w:after="200" w:line="276" w:lineRule="auto"/>
        <w:rPr>
          <w:lang w:val="nl-NL"/>
        </w:rPr>
      </w:pPr>
      <w:r w:rsidRPr="009D3642">
        <w:rPr>
          <w:lang w:val="nl-NL"/>
        </w:rPr>
        <w:t>Het fonds heeft een gedragscode die ge</w:t>
      </w:r>
      <w:r w:rsidRPr="00F71800">
        <w:rPr>
          <w:lang w:val="nl-NL"/>
        </w:rPr>
        <w:t>ldt voor alle verbonden personen</w:t>
      </w:r>
      <w:r>
        <w:rPr>
          <w:lang w:val="nl-NL"/>
        </w:rPr>
        <w:t xml:space="preserve">, waarin onder andere het risico op fraude wordt geadresseerd. Nieuwe verbonden personen worden door de compliance officer gewezen op de gedragscode en alle verbonden personen moeten elk jaar een verklaring ondertekenen waarin ze verklaring de gedragscode te hebben nageleefd. </w:t>
      </w:r>
    </w:p>
    <w:p w14:paraId="1DCDA79E" w14:textId="77777777" w:rsidR="00A4136D" w:rsidRDefault="00A4136D" w:rsidP="001E699B">
      <w:pPr>
        <w:pStyle w:val="Lijstalinea"/>
        <w:numPr>
          <w:ilvl w:val="0"/>
          <w:numId w:val="49"/>
        </w:numPr>
        <w:spacing w:after="200" w:line="276" w:lineRule="auto"/>
        <w:rPr>
          <w:lang w:val="nl-NL"/>
        </w:rPr>
      </w:pPr>
      <w:r>
        <w:rPr>
          <w:lang w:val="nl-NL"/>
        </w:rPr>
        <w:lastRenderedPageBreak/>
        <w:t>Het fonds heeft een bevoegdhedenregeling, die</w:t>
      </w:r>
      <w:r w:rsidRPr="00F71800">
        <w:rPr>
          <w:lang w:val="nl-NL"/>
        </w:rPr>
        <w:t xml:space="preserve"> </w:t>
      </w:r>
      <w:r>
        <w:rPr>
          <w:lang w:val="nl-NL"/>
        </w:rPr>
        <w:t xml:space="preserve">zodanig </w:t>
      </w:r>
      <w:r w:rsidRPr="00F71800">
        <w:rPr>
          <w:lang w:val="nl-NL"/>
        </w:rPr>
        <w:t xml:space="preserve">opgezet </w:t>
      </w:r>
      <w:r>
        <w:rPr>
          <w:lang w:val="nl-NL"/>
        </w:rPr>
        <w:t xml:space="preserve">is </w:t>
      </w:r>
      <w:r w:rsidRPr="00F71800">
        <w:rPr>
          <w:lang w:val="nl-NL"/>
        </w:rPr>
        <w:t>dat geen enkel lid van het bestuursbureau of bestuurslid zelfstandig kan besluiten over een aankoop, uitgave of enigerlei verplichting. Betalingen van facturen worden te allen tijde via AZL uitgevoerd en vergen daarom te allen tijde tenminste één bestuurshandtekening.</w:t>
      </w:r>
      <w:r>
        <w:rPr>
          <w:lang w:val="nl-NL"/>
        </w:rPr>
        <w:t xml:space="preserve"> </w:t>
      </w:r>
    </w:p>
    <w:p w14:paraId="75A40CC5" w14:textId="77777777" w:rsidR="00A4136D" w:rsidRDefault="00A4136D" w:rsidP="001E699B">
      <w:pPr>
        <w:pStyle w:val="Lijstalinea"/>
        <w:numPr>
          <w:ilvl w:val="0"/>
          <w:numId w:val="49"/>
        </w:numPr>
        <w:spacing w:after="200" w:line="276" w:lineRule="auto"/>
        <w:rPr>
          <w:lang w:val="nl-NL"/>
        </w:rPr>
      </w:pPr>
      <w:r>
        <w:rPr>
          <w:lang w:val="nl-NL"/>
        </w:rPr>
        <w:t xml:space="preserve">In geval van </w:t>
      </w:r>
      <w:r w:rsidRPr="00F71800">
        <w:rPr>
          <w:lang w:val="nl-NL"/>
        </w:rPr>
        <w:t>betalingen, goedkeuren facturen, aangaan contractuele verplichtingen)</w:t>
      </w:r>
      <w:r>
        <w:rPr>
          <w:lang w:val="nl-NL"/>
        </w:rPr>
        <w:t xml:space="preserve"> is sprake </w:t>
      </w:r>
      <w:r w:rsidRPr="00F71800">
        <w:rPr>
          <w:lang w:val="nl-NL"/>
        </w:rPr>
        <w:t>van (tenminste) 4-ogen principes en controle-technische functiescheidingen.</w:t>
      </w:r>
    </w:p>
    <w:p w14:paraId="318AE07F" w14:textId="77777777" w:rsidR="00A4136D" w:rsidRPr="009D3642" w:rsidRDefault="00A4136D" w:rsidP="00A4136D">
      <w:pPr>
        <w:spacing w:after="200" w:line="276" w:lineRule="auto"/>
        <w:rPr>
          <w:lang w:val="nl-NL"/>
        </w:rPr>
      </w:pPr>
      <w:r w:rsidRPr="009D3642">
        <w:rPr>
          <w:lang w:val="nl-NL"/>
        </w:rPr>
        <w:t xml:space="preserve">Daarnaast heeft het fonds een bestuurdersaansprakelijkheidsverzekering afgesloten </w:t>
      </w:r>
      <w:r>
        <w:rPr>
          <w:lang w:val="nl-NL"/>
        </w:rPr>
        <w:t>ter dekking van de financiële gevolgen van een claim tot schadevergoeding jegens het fonds of één van zijn bestuurders.</w:t>
      </w:r>
    </w:p>
    <w:p w14:paraId="473F2867" w14:textId="77777777" w:rsidR="00A4136D" w:rsidRDefault="00A4136D" w:rsidP="007E557F">
      <w:pPr>
        <w:spacing w:after="200" w:line="276" w:lineRule="auto"/>
        <w:rPr>
          <w:lang w:val="nl-NL"/>
        </w:rPr>
      </w:pPr>
    </w:p>
    <w:p w14:paraId="1750B83D" w14:textId="77777777" w:rsidR="007E557F" w:rsidRDefault="007E557F" w:rsidP="007E557F">
      <w:pPr>
        <w:spacing w:after="200" w:line="276" w:lineRule="auto"/>
        <w:rPr>
          <w:b/>
          <w:lang w:val="nl-NL"/>
        </w:rPr>
      </w:pPr>
    </w:p>
    <w:p w14:paraId="27968B7D" w14:textId="77777777" w:rsidR="007E557F" w:rsidRPr="007E557F" w:rsidRDefault="007E557F" w:rsidP="001E699B">
      <w:pPr>
        <w:pStyle w:val="Lijstalinea"/>
        <w:numPr>
          <w:ilvl w:val="0"/>
          <w:numId w:val="36"/>
        </w:numPr>
        <w:spacing w:after="200" w:line="276" w:lineRule="auto"/>
        <w:rPr>
          <w:b/>
          <w:lang w:val="nl-NL"/>
        </w:rPr>
      </w:pPr>
      <w:r w:rsidRPr="007E557F">
        <w:rPr>
          <w:b/>
          <w:lang w:val="nl-NL"/>
        </w:rPr>
        <w:t>Kritisch niveau van de (beleids-)dekkingsgraad en inzet van herstel- en kortingsmaatregelen</w:t>
      </w:r>
    </w:p>
    <w:p w14:paraId="557202B7" w14:textId="77777777" w:rsidR="007E557F" w:rsidRDefault="007E557F" w:rsidP="007E557F">
      <w:pPr>
        <w:spacing w:after="200" w:line="276" w:lineRule="auto"/>
        <w:rPr>
          <w:lang w:val="nl-NL"/>
        </w:rPr>
      </w:pPr>
      <w:r>
        <w:rPr>
          <w:lang w:val="nl-NL"/>
        </w:rPr>
        <w:t>Onder het Financieel Toetsingskader voor pensioenfondsen waar ING CDC Pensioenfonds wettelijk aan gebonden is, is sprake van de volgende relevante solvabiliteitsregels:</w:t>
      </w:r>
    </w:p>
    <w:p w14:paraId="11DF0B30" w14:textId="77777777" w:rsidR="007E557F" w:rsidRPr="001F4955" w:rsidRDefault="007E557F" w:rsidP="001E699B">
      <w:pPr>
        <w:pStyle w:val="Lijstalinea"/>
        <w:numPr>
          <w:ilvl w:val="0"/>
          <w:numId w:val="40"/>
        </w:numPr>
        <w:spacing w:after="200" w:line="276" w:lineRule="auto"/>
        <w:rPr>
          <w:lang w:val="nl-NL"/>
        </w:rPr>
      </w:pPr>
      <w:r w:rsidRPr="00FD7F8B">
        <w:rPr>
          <w:lang w:val="nl-NL"/>
        </w:rPr>
        <w:t xml:space="preserve">Het </w:t>
      </w:r>
      <w:r w:rsidRPr="004F5C27">
        <w:rPr>
          <w:b/>
          <w:lang w:val="nl-NL"/>
        </w:rPr>
        <w:t>vereist eigen vermogen</w:t>
      </w:r>
      <w:r w:rsidRPr="004F5C27">
        <w:rPr>
          <w:lang w:val="nl-NL"/>
        </w:rPr>
        <w:t xml:space="preserve">: dit is het voorgeschreven niveau van de beleidsdekkingsgraad. De hoogte ervan is (mede) afhankelijk van het risicoprofiel van het feitelijke en van het strategische beleggingsbeleid. Voor het fonds is het vereist eigen vermogen </w:t>
      </w:r>
      <w:r w:rsidRPr="001F4955">
        <w:rPr>
          <w:lang w:val="nl-NL"/>
        </w:rPr>
        <w:t xml:space="preserve">circa 120%. </w:t>
      </w:r>
    </w:p>
    <w:p w14:paraId="34BCE8B6" w14:textId="77777777" w:rsidR="007E557F" w:rsidRPr="002A5F41" w:rsidRDefault="007E557F" w:rsidP="001E699B">
      <w:pPr>
        <w:pStyle w:val="Lijstalinea"/>
        <w:numPr>
          <w:ilvl w:val="0"/>
          <w:numId w:val="40"/>
        </w:numPr>
        <w:spacing w:after="200" w:line="276" w:lineRule="auto"/>
        <w:rPr>
          <w:lang w:val="nl-NL"/>
        </w:rPr>
      </w:pPr>
      <w:r w:rsidRPr="007F7155">
        <w:rPr>
          <w:lang w:val="nl-NL"/>
        </w:rPr>
        <w:t xml:space="preserve">Het </w:t>
      </w:r>
      <w:r w:rsidRPr="007F7155">
        <w:rPr>
          <w:b/>
          <w:lang w:val="nl-NL"/>
        </w:rPr>
        <w:t>minimaal vereist eigen vermogen</w:t>
      </w:r>
      <w:r w:rsidRPr="007F7155">
        <w:rPr>
          <w:lang w:val="nl-NL"/>
        </w:rPr>
        <w:t>: deze ondergrens voor de beleidsdekkingsgraad wordt separaat berekend en is (mede) afhankelijk van het risicoprofiel van de balans. Voor het fonds is het minimaal vereist eigen vermogen circa 105%.</w:t>
      </w:r>
      <w:r w:rsidRPr="002A5F41">
        <w:rPr>
          <w:lang w:val="nl-NL"/>
        </w:rPr>
        <w:t xml:space="preserve">Het fonds mag maximaal 5 jaar </w:t>
      </w:r>
      <w:r w:rsidR="00E478C3">
        <w:rPr>
          <w:lang w:val="nl-NL"/>
        </w:rPr>
        <w:t xml:space="preserve">onafgebroken </w:t>
      </w:r>
      <w:r w:rsidRPr="002A5F41">
        <w:rPr>
          <w:lang w:val="nl-NL"/>
        </w:rPr>
        <w:t>een beleidsdekkingsgraad hebben die lager is dan het minimaal vereist eigen vermogen.</w:t>
      </w:r>
    </w:p>
    <w:p w14:paraId="4E385167" w14:textId="77777777" w:rsidR="007E557F" w:rsidRPr="00FD7F8B" w:rsidRDefault="007E557F" w:rsidP="001E699B">
      <w:pPr>
        <w:pStyle w:val="Lijstalinea"/>
        <w:numPr>
          <w:ilvl w:val="0"/>
          <w:numId w:val="40"/>
        </w:numPr>
        <w:spacing w:after="200" w:line="276" w:lineRule="auto"/>
        <w:rPr>
          <w:lang w:val="nl-NL"/>
        </w:rPr>
      </w:pPr>
      <w:r w:rsidRPr="00FD7F8B">
        <w:rPr>
          <w:lang w:val="nl-NL"/>
        </w:rPr>
        <w:t xml:space="preserve">De beleidsdekkingsgraad: het gemiddelde van de dekkingsgraden van de laatste 12 maandeinden. Op basis van de beleidsdekkingsgraad wordt iedere maand getoetst of er sprake is van een </w:t>
      </w:r>
      <w:r w:rsidRPr="00FD7F8B">
        <w:rPr>
          <w:b/>
          <w:lang w:val="nl-NL"/>
        </w:rPr>
        <w:t>reservetekort</w:t>
      </w:r>
      <w:r w:rsidRPr="00FD7F8B">
        <w:rPr>
          <w:lang w:val="nl-NL"/>
        </w:rPr>
        <w:t xml:space="preserve"> (de beleidsdekkingsgraad is dan lager dan het vereist eigen vermogen) dan wel een </w:t>
      </w:r>
      <w:r w:rsidRPr="00FD7F8B">
        <w:rPr>
          <w:b/>
          <w:lang w:val="nl-NL"/>
        </w:rPr>
        <w:t>dekkingstekort</w:t>
      </w:r>
      <w:r w:rsidRPr="00FD7F8B">
        <w:rPr>
          <w:lang w:val="nl-NL"/>
        </w:rPr>
        <w:t xml:space="preserve"> (de beleidsdekkingsgraad is dan lager dan het minimaal vereist eigen vermogen).</w:t>
      </w:r>
    </w:p>
    <w:p w14:paraId="6197BA9A" w14:textId="023F76D2" w:rsidR="007E557F" w:rsidRDefault="007E557F" w:rsidP="007E557F">
      <w:pPr>
        <w:spacing w:after="200" w:line="276" w:lineRule="auto"/>
        <w:rPr>
          <w:lang w:val="nl-NL"/>
        </w:rPr>
      </w:pPr>
      <w:r w:rsidRPr="00F21000">
        <w:rPr>
          <w:lang w:val="nl-NL"/>
        </w:rPr>
        <w:t xml:space="preserve">De dekkingsgraad geeft de verhouding aan tussen het vermogen van </w:t>
      </w:r>
      <w:r>
        <w:rPr>
          <w:lang w:val="nl-NL"/>
        </w:rPr>
        <w:t xml:space="preserve">ING CDC Pensioenfonds </w:t>
      </w:r>
      <w:r w:rsidRPr="00F21000">
        <w:rPr>
          <w:lang w:val="nl-NL"/>
        </w:rPr>
        <w:t>en de pensioenverplichtingen (alle nu en in de toekomst uit te keren pensioenen) die daar tegenover staan.</w:t>
      </w:r>
      <w:r>
        <w:rPr>
          <w:lang w:val="nl-NL"/>
        </w:rPr>
        <w:t xml:space="preserve"> Het fonds rapporteert iedere maand de dekkingsgraad en de beleidsdekkingsgraad aan De Nederlandsche Bank met de vaststelling of er sprake is van een reserve- dan wel dekkingstekort.  </w:t>
      </w:r>
      <w:r>
        <w:rPr>
          <w:lang w:val="nl-NL"/>
        </w:rPr>
        <w:br/>
      </w:r>
      <w:r>
        <w:rPr>
          <w:lang w:val="nl-NL"/>
        </w:rPr>
        <w:br/>
      </w:r>
      <w:r w:rsidRPr="00B939A4">
        <w:rPr>
          <w:b/>
          <w:lang w:val="nl-NL"/>
        </w:rPr>
        <w:t>Herstelplan:</w:t>
      </w:r>
      <w:r w:rsidRPr="00B939A4">
        <w:rPr>
          <w:b/>
          <w:lang w:val="nl-NL"/>
        </w:rPr>
        <w:br/>
      </w:r>
      <w:r>
        <w:rPr>
          <w:lang w:val="nl-NL"/>
        </w:rPr>
        <w:t>Indien sprake is van een reserve- dan wel dekkingstekort, zal ING CDC Pensioenfonds binnen 3 maanden een herstelplan indienen bij De Nederlandsche Bank om aan te tonen hoe het fonds binnen de wettelijke termijn zal herstellen. Als termijn voor herstellen uit een reservetekort hanteert het fonds 10 jaar.</w:t>
      </w:r>
    </w:p>
    <w:p w14:paraId="14DE8C27" w14:textId="77777777" w:rsidR="007E557F" w:rsidRDefault="007E557F" w:rsidP="007E557F">
      <w:pPr>
        <w:spacing w:after="200" w:line="276" w:lineRule="auto"/>
        <w:rPr>
          <w:lang w:val="nl-NL"/>
        </w:rPr>
      </w:pPr>
      <w:r>
        <w:rPr>
          <w:lang w:val="nl-NL"/>
        </w:rPr>
        <w:t>Voor het opstellen van het herstelplan bij reserve en/of dekkingstekort hanteert het fonds in beginsel de volgende uitgangspunten, tenzij op dat moment andere wettelijke richtlijnen van toepassing zijn:</w:t>
      </w:r>
    </w:p>
    <w:p w14:paraId="38B35E5A" w14:textId="1A2E0DA0" w:rsidR="007E557F" w:rsidRPr="007F7155" w:rsidRDefault="007E557F" w:rsidP="001E699B">
      <w:pPr>
        <w:pStyle w:val="Lijstalinea"/>
        <w:numPr>
          <w:ilvl w:val="0"/>
          <w:numId w:val="41"/>
        </w:numPr>
        <w:spacing w:after="200" w:line="276" w:lineRule="auto"/>
        <w:rPr>
          <w:lang w:val="nl-NL"/>
        </w:rPr>
      </w:pPr>
      <w:r w:rsidRPr="004F5C27">
        <w:rPr>
          <w:lang w:val="nl-NL"/>
        </w:rPr>
        <w:lastRenderedPageBreak/>
        <w:t>Het fonds gaat ervanuit dat de CDC-pensioenregeling die op dat moment geldt, inclusief de daarin afgesproken premiefinanciering</w:t>
      </w:r>
      <w:r w:rsidRPr="001F4955">
        <w:rPr>
          <w:lang w:val="nl-NL"/>
        </w:rPr>
        <w:t>, tijdens de herstelperiode van toepassing blijft. Indien bij het opstellen of actualiseren van het herstelplan duidelijk is dat de premiefinanciering in de nabije toekomst wordt gewijzigd, wordt uitgegaan van een actuele i</w:t>
      </w:r>
      <w:r w:rsidRPr="007F7155">
        <w:rPr>
          <w:lang w:val="nl-NL"/>
        </w:rPr>
        <w:t xml:space="preserve">nschatting van de toekomstige premiefinanciering. </w:t>
      </w:r>
    </w:p>
    <w:p w14:paraId="543786A6" w14:textId="77777777" w:rsidR="007E557F" w:rsidRPr="007F7155" w:rsidRDefault="007E557F" w:rsidP="001E699B">
      <w:pPr>
        <w:pStyle w:val="Lijstalinea"/>
        <w:numPr>
          <w:ilvl w:val="0"/>
          <w:numId w:val="41"/>
        </w:numPr>
        <w:spacing w:after="200" w:line="276" w:lineRule="auto"/>
        <w:rPr>
          <w:lang w:val="nl-NL"/>
        </w:rPr>
      </w:pPr>
      <w:r w:rsidRPr="007F7155">
        <w:rPr>
          <w:lang w:val="nl-NL"/>
        </w:rPr>
        <w:t>Het fonds gaat er vanuit dat het strategische beleggingsbeleid dat van toepassing is op het moment dat het tekort is ontstaan, tijdens de herstelperiode van toepassing blijft. Voor zover er wijzigingen in het strategische beleggingsbeleid worden doorgevoerd in de herstelperiode, dan zullen die in ieder geval het risicoprofiel niet mogen vergroten en/of het herstel belemmeren.</w:t>
      </w:r>
    </w:p>
    <w:p w14:paraId="713573FB" w14:textId="77777777" w:rsidR="007E557F" w:rsidRPr="002A5F41" w:rsidRDefault="007E557F" w:rsidP="001E699B">
      <w:pPr>
        <w:pStyle w:val="Lijstalinea"/>
        <w:numPr>
          <w:ilvl w:val="0"/>
          <w:numId w:val="41"/>
        </w:numPr>
        <w:spacing w:after="200" w:line="276" w:lineRule="auto"/>
        <w:rPr>
          <w:lang w:val="nl-NL"/>
        </w:rPr>
      </w:pPr>
      <w:r w:rsidRPr="007F7155">
        <w:rPr>
          <w:lang w:val="nl-NL"/>
        </w:rPr>
        <w:t xml:space="preserve">Het fonds rekent het verwachte herstel uit met de meest actuele prudente aannames </w:t>
      </w:r>
      <w:r w:rsidRPr="002A5F41">
        <w:rPr>
          <w:lang w:val="nl-NL"/>
        </w:rPr>
        <w:t>ten aanzien van sterftekansen en andere actuariële aannames en actualiseert die aannames ieder jaar bij de actualisatie van het herstelplan.</w:t>
      </w:r>
    </w:p>
    <w:p w14:paraId="2AAF50AE" w14:textId="3DFF02D7" w:rsidR="007E557F" w:rsidRPr="001F4955" w:rsidRDefault="004F5C27" w:rsidP="001E699B">
      <w:pPr>
        <w:pStyle w:val="Lijstalinea"/>
        <w:numPr>
          <w:ilvl w:val="0"/>
          <w:numId w:val="41"/>
        </w:numPr>
        <w:spacing w:after="200" w:line="276" w:lineRule="auto"/>
        <w:rPr>
          <w:lang w:val="nl-NL"/>
        </w:rPr>
      </w:pPr>
      <w:r>
        <w:rPr>
          <w:lang w:val="nl-NL"/>
        </w:rPr>
        <w:t xml:space="preserve">Het fonds rekent het verwachte (jaarlijkse) herstel binnen de 10-jaars hersteltermijn uit met de meest recente rentecurve, de door De Nederlandsche Bank voorgeschreven minimale inflatieverwachting en met (netto-)beleggingsrendementen conform de </w:t>
      </w:r>
      <w:r w:rsidR="008B498E">
        <w:rPr>
          <w:lang w:val="nl-NL"/>
        </w:rPr>
        <w:t>maximale parameters van de Commissie Parameters</w:t>
      </w:r>
    </w:p>
    <w:p w14:paraId="22B6FDA7" w14:textId="3772E0FB" w:rsidR="007E557F" w:rsidRPr="007F7155" w:rsidRDefault="007E557F" w:rsidP="001E699B">
      <w:pPr>
        <w:pStyle w:val="Lijstalinea"/>
        <w:numPr>
          <w:ilvl w:val="0"/>
          <w:numId w:val="41"/>
        </w:numPr>
        <w:spacing w:after="200" w:line="276" w:lineRule="auto"/>
        <w:rPr>
          <w:lang w:val="nl-NL"/>
        </w:rPr>
      </w:pPr>
      <w:r w:rsidRPr="007F7155">
        <w:rPr>
          <w:lang w:val="nl-NL"/>
        </w:rPr>
        <w:t>Het fonds rekent met een hersteltermijn van 10 jaar voor herstel van een reservetekort; tijdens het herstel wordt jaarlijks geëvalueerd of het herstel van de beleidsdekkingsgraad tot het vereiste niveau te verwachten is binnen 10 jaar vanaf dat moment; daarbij wordt de eventuele toeslagverlening in de berekening begrensd, voor zover nodig om het verwachte herstel binnen 10 jaar niet in gevaar te brengen. Dit kan betekenen dat ten tijde van een tekort</w:t>
      </w:r>
      <w:r w:rsidR="00E478C3">
        <w:rPr>
          <w:lang w:val="nl-NL"/>
        </w:rPr>
        <w:t xml:space="preserve"> geen toeslag wordt verleend of</w:t>
      </w:r>
      <w:r w:rsidRPr="007F7155">
        <w:rPr>
          <w:lang w:val="nl-NL"/>
        </w:rPr>
        <w:t xml:space="preserve"> minder toeslag wordt verleend dan is toegestaan op basis van het toeslagbeleid van het fonds. Herstel van de beleidsdekkingsgraad gaat dan voor toeslagverlening. Bij een beleidsdekkingsgraad lager dan </w:t>
      </w:r>
      <w:r w:rsidR="00354C56">
        <w:rPr>
          <w:lang w:val="nl-NL"/>
        </w:rPr>
        <w:t>105</w:t>
      </w:r>
      <w:r w:rsidRPr="007F7155">
        <w:rPr>
          <w:lang w:val="nl-NL"/>
        </w:rPr>
        <w:t xml:space="preserve">% wordt geen toeslag verleend.  </w:t>
      </w:r>
    </w:p>
    <w:p w14:paraId="612DAC5C" w14:textId="77777777" w:rsidR="007E557F" w:rsidRDefault="007E557F" w:rsidP="007E557F">
      <w:pPr>
        <w:spacing w:after="200" w:line="276" w:lineRule="auto"/>
        <w:rPr>
          <w:lang w:val="nl-NL"/>
        </w:rPr>
      </w:pPr>
      <w:r>
        <w:rPr>
          <w:lang w:val="nl-NL"/>
        </w:rPr>
        <w:t>Het herstelplan wordt ieder jaar opnieuw doorgerekend (‘actualisatie van het herstelplan’), steeds met een horizon van 10 jaar, zolang niet is voldaan aan de eis dat de beleidsdekkingsgraad tenminste het vereist eigen vermogen heeft bereikt.</w:t>
      </w:r>
    </w:p>
    <w:p w14:paraId="303A2435" w14:textId="7B1CC5A6" w:rsidR="007E557F" w:rsidRDefault="007E557F" w:rsidP="007E557F">
      <w:pPr>
        <w:spacing w:after="200" w:line="276" w:lineRule="auto"/>
        <w:rPr>
          <w:lang w:val="nl-NL"/>
        </w:rPr>
      </w:pPr>
      <w:r w:rsidRPr="00F3473C">
        <w:rPr>
          <w:b/>
          <w:lang w:val="nl-NL"/>
        </w:rPr>
        <w:t>Reservetekort</w:t>
      </w:r>
      <w:r>
        <w:rPr>
          <w:lang w:val="nl-NL"/>
        </w:rPr>
        <w:t>:</w:t>
      </w:r>
      <w:r>
        <w:rPr>
          <w:lang w:val="nl-NL"/>
        </w:rPr>
        <w:br/>
        <w:t xml:space="preserve">Indien met toepassing van deze uitgangspunten bij de vaststelling of bij de jaarlijkse actualisatie van het herstelplan blijkt dat het herstel van de beleidsdekkingsgraad niet binnen 10 jaar te verwachten is, dan onderzoekt ING CDC Pensioenfonds als eerste herstelmaatregel of het risicoprofiel van het beleggingsbeleid zodanig kan worden verlaagd dat het daarbij behorende lagere vereist eigen vermogen wel binnen 10 jaar kan worden bereikt. In dat geval wordt het strategisch beleggingsbeleid herzien. Er is geen verhoging van het risicoprofiel toegestaan zolang er sprake is van een reservetekort. Indien met een aangepast (strategisch) beleggingsbeleid herstel binnen 10 jaar niet te verwachten is, dan wordt als tweede herstelmaatregel overgegaan op een korting van de opgebouwde pensioenaanspraken en pensioenrechten. </w:t>
      </w:r>
    </w:p>
    <w:p w14:paraId="418BD67A" w14:textId="77777777" w:rsidR="007E557F" w:rsidRDefault="007E557F" w:rsidP="007E557F">
      <w:pPr>
        <w:spacing w:after="200" w:line="276" w:lineRule="auto"/>
        <w:rPr>
          <w:lang w:val="nl-NL"/>
        </w:rPr>
      </w:pPr>
      <w:r w:rsidRPr="00F3473C">
        <w:rPr>
          <w:b/>
          <w:lang w:val="nl-NL"/>
        </w:rPr>
        <w:t>Dekkingstekort</w:t>
      </w:r>
      <w:r>
        <w:rPr>
          <w:lang w:val="nl-NL"/>
        </w:rPr>
        <w:t>:</w:t>
      </w:r>
      <w:r>
        <w:rPr>
          <w:lang w:val="nl-NL"/>
        </w:rPr>
        <w:br/>
        <w:t xml:space="preserve">Indien de beleidsdekkingsgraad 5 jaar onafgebroken lager is dan het minimaal vereist eigen vermogen en </w:t>
      </w:r>
      <w:r w:rsidR="00B50B62">
        <w:rPr>
          <w:lang w:val="nl-NL"/>
        </w:rPr>
        <w:t xml:space="preserve">aan het einde van het jaar erna de dekkingsgraad </w:t>
      </w:r>
      <w:r>
        <w:rPr>
          <w:lang w:val="nl-NL"/>
        </w:rPr>
        <w:t>nog altijd lager is dan het minimaal vereist eigen vermogen, dan gaat het fonds over op een korting van de opgebouwde aanspraken en pensioenrechten.</w:t>
      </w:r>
    </w:p>
    <w:p w14:paraId="2CAFDC44" w14:textId="77777777" w:rsidR="007E557F" w:rsidRDefault="007E557F" w:rsidP="007E557F">
      <w:pPr>
        <w:spacing w:after="200" w:line="276" w:lineRule="auto"/>
        <w:rPr>
          <w:lang w:val="nl-NL"/>
        </w:rPr>
      </w:pPr>
      <w:r w:rsidRPr="00973D66">
        <w:rPr>
          <w:lang w:val="nl-NL"/>
        </w:rPr>
        <w:lastRenderedPageBreak/>
        <w:t xml:space="preserve">Indien bij de laatste vaststelling van de beleidsdekkingsgraad </w:t>
      </w:r>
      <w:r>
        <w:rPr>
          <w:lang w:val="nl-NL"/>
        </w:rPr>
        <w:t>deze</w:t>
      </w:r>
      <w:r w:rsidR="00B50B62">
        <w:rPr>
          <w:lang w:val="nl-NL"/>
        </w:rPr>
        <w:t xml:space="preserve"> aan het einde van het jaar volgend op de 5-jaarstermijn</w:t>
      </w:r>
      <w:r>
        <w:rPr>
          <w:lang w:val="nl-NL"/>
        </w:rPr>
        <w:t xml:space="preserve"> </w:t>
      </w:r>
      <w:r>
        <w:rPr>
          <w:rFonts w:cs="Arial"/>
          <w:color w:val="161616"/>
          <w:szCs w:val="20"/>
          <w:lang w:val="nl-NL"/>
        </w:rPr>
        <w:t xml:space="preserve">lager was dan </w:t>
      </w:r>
      <w:r>
        <w:rPr>
          <w:lang w:val="nl-NL"/>
        </w:rPr>
        <w:t>het minimaal vereist eigen vermogen</w:t>
      </w:r>
      <w:r>
        <w:rPr>
          <w:rFonts w:cs="Arial"/>
          <w:color w:val="161616"/>
          <w:szCs w:val="20"/>
          <w:lang w:val="nl-NL"/>
        </w:rPr>
        <w:t xml:space="preserve"> en </w:t>
      </w:r>
      <w:r w:rsidRPr="00973D66">
        <w:rPr>
          <w:lang w:val="nl-NL"/>
        </w:rPr>
        <w:t xml:space="preserve">de dekkingsgraad niet </w:t>
      </w:r>
      <w:r>
        <w:rPr>
          <w:rFonts w:cs="Arial"/>
          <w:color w:val="161616"/>
          <w:szCs w:val="20"/>
          <w:lang w:val="nl-NL"/>
        </w:rPr>
        <w:t xml:space="preserve">lager was dan </w:t>
      </w:r>
      <w:r>
        <w:rPr>
          <w:lang w:val="nl-NL"/>
        </w:rPr>
        <w:t>het minimaal vereist eigen vermogen</w:t>
      </w:r>
      <w:r>
        <w:rPr>
          <w:rFonts w:cs="Arial"/>
          <w:color w:val="161616"/>
          <w:szCs w:val="20"/>
          <w:lang w:val="nl-NL"/>
        </w:rPr>
        <w:t xml:space="preserve">, dan moet </w:t>
      </w:r>
      <w:r w:rsidR="001B2EC0">
        <w:rPr>
          <w:lang w:val="nl-NL"/>
        </w:rPr>
        <w:t>het fonds</w:t>
      </w:r>
      <w:r>
        <w:rPr>
          <w:lang w:val="nl-NL"/>
        </w:rPr>
        <w:t xml:space="preserve"> overgaan op een korting van de opgebouwde aanspraken en pensioenrechten</w:t>
      </w:r>
      <w:r w:rsidRPr="00973D66">
        <w:rPr>
          <w:lang w:val="nl-NL"/>
        </w:rPr>
        <w:t xml:space="preserve"> als bij iedere volgende vaststelling</w:t>
      </w:r>
      <w:r w:rsidR="00A234D6">
        <w:rPr>
          <w:lang w:val="nl-NL"/>
        </w:rPr>
        <w:t xml:space="preserve"> </w:t>
      </w:r>
      <w:r w:rsidRPr="00973D66">
        <w:rPr>
          <w:lang w:val="nl-NL"/>
        </w:rPr>
        <w:t>van de beleidsdekkingsgraad</w:t>
      </w:r>
      <w:r w:rsidR="00163105">
        <w:rPr>
          <w:lang w:val="nl-NL"/>
        </w:rPr>
        <w:t xml:space="preserve"> (aan het einde van het jaar)</w:t>
      </w:r>
      <w:r w:rsidR="00163105" w:rsidRPr="00973D66">
        <w:rPr>
          <w:lang w:val="nl-NL"/>
        </w:rPr>
        <w:t xml:space="preserve"> </w:t>
      </w:r>
      <w:r w:rsidRPr="00973D66">
        <w:rPr>
          <w:lang w:val="nl-NL"/>
        </w:rPr>
        <w:t xml:space="preserve">blijkt dat ook de </w:t>
      </w:r>
      <w:r>
        <w:rPr>
          <w:lang w:val="nl-NL"/>
        </w:rPr>
        <w:t xml:space="preserve">actuele </w:t>
      </w:r>
      <w:r w:rsidRPr="00973D66">
        <w:rPr>
          <w:lang w:val="nl-NL"/>
        </w:rPr>
        <w:t xml:space="preserve">dekkingsgraad </w:t>
      </w:r>
      <w:r>
        <w:rPr>
          <w:rFonts w:cs="Arial"/>
          <w:color w:val="161616"/>
          <w:szCs w:val="20"/>
          <w:lang w:val="nl-NL"/>
        </w:rPr>
        <w:t xml:space="preserve">lager is dan </w:t>
      </w:r>
      <w:r>
        <w:rPr>
          <w:lang w:val="nl-NL"/>
        </w:rPr>
        <w:t>het minimaal vereist eigen vermogen</w:t>
      </w:r>
      <w:r w:rsidRPr="00973D66">
        <w:rPr>
          <w:lang w:val="nl-NL"/>
        </w:rPr>
        <w:t>.</w:t>
      </w:r>
      <w:r>
        <w:rPr>
          <w:lang w:val="nl-NL"/>
        </w:rPr>
        <w:t xml:space="preserve"> </w:t>
      </w:r>
    </w:p>
    <w:p w14:paraId="71A1DD4A" w14:textId="77777777" w:rsidR="007E557F" w:rsidRDefault="007E557F" w:rsidP="007E557F">
      <w:pPr>
        <w:spacing w:after="200" w:line="276" w:lineRule="auto"/>
        <w:rPr>
          <w:lang w:val="nl-NL"/>
        </w:rPr>
      </w:pPr>
      <w:r>
        <w:rPr>
          <w:lang w:val="nl-NL"/>
        </w:rPr>
        <w:t>Een korting tot herstel van de (beleids-) dekkingsgraad tot het niveau van het (minimaal) vereist eigen vermogen wordt evenredig over alle aanspraken en pensioenrechten verdeeld.</w:t>
      </w:r>
    </w:p>
    <w:p w14:paraId="69B34FC0" w14:textId="77777777" w:rsidR="007E557F" w:rsidRDefault="007E557F" w:rsidP="007E557F">
      <w:pPr>
        <w:spacing w:after="200" w:line="276" w:lineRule="auto"/>
        <w:rPr>
          <w:lang w:val="nl-NL"/>
        </w:rPr>
      </w:pPr>
      <w:r w:rsidRPr="00654A41">
        <w:rPr>
          <w:b/>
          <w:lang w:val="nl-NL"/>
        </w:rPr>
        <w:t>Spreiding van kortingen over meerdere jaren:</w:t>
      </w:r>
      <w:r w:rsidRPr="00654A41">
        <w:rPr>
          <w:b/>
          <w:lang w:val="nl-NL"/>
        </w:rPr>
        <w:br/>
      </w:r>
      <w:r>
        <w:rPr>
          <w:lang w:val="nl-NL"/>
        </w:rPr>
        <w:t xml:space="preserve">ING CDC Pensioenfonds hanteert als leidraad dat kortingen tot (maximaal) </w:t>
      </w:r>
      <w:r w:rsidRPr="00332047">
        <w:rPr>
          <w:lang w:val="nl-NL"/>
        </w:rPr>
        <w:t>5%</w:t>
      </w:r>
      <w:r>
        <w:rPr>
          <w:lang w:val="nl-NL"/>
        </w:rPr>
        <w:t xml:space="preserve"> in beginsel in één keer in aanmerking worden genomen door verlaging van de pensioenaanspraken en -rechten.  </w:t>
      </w:r>
      <w:r w:rsidRPr="00BE5CE2">
        <w:rPr>
          <w:lang w:val="nl-NL"/>
        </w:rPr>
        <w:t>Indien de noodzakelijke korting hoger is dan 5%, zal deze, indien dat wettelijk is geoorloofd, over meerdere jaren worden gespreid, met inachtneming van de wettelijke maximale spreidingstermijn van 10 jaar</w:t>
      </w:r>
      <w:r>
        <w:rPr>
          <w:lang w:val="nl-NL"/>
        </w:rPr>
        <w:t>, in het belang van de pensioengerechtigden die door de korting direct in hun pensioeninkomen worden geraakt en met inachtneming van een evenwichtige afweging van de belangen op dat moment.</w:t>
      </w:r>
    </w:p>
    <w:p w14:paraId="1F0759EF" w14:textId="77777777" w:rsidR="007E557F" w:rsidRDefault="007E557F" w:rsidP="007E557F">
      <w:pPr>
        <w:spacing w:after="200" w:line="276" w:lineRule="auto"/>
        <w:rPr>
          <w:lang w:val="nl-NL"/>
        </w:rPr>
      </w:pPr>
      <w:r w:rsidRPr="00654A41">
        <w:rPr>
          <w:b/>
          <w:lang w:val="nl-NL"/>
        </w:rPr>
        <w:t>Toetsing van wijzigingen in de pensioenovereenkomst tijdens een lopend herstelplan:</w:t>
      </w:r>
      <w:r w:rsidRPr="00654A41">
        <w:rPr>
          <w:b/>
          <w:lang w:val="nl-NL"/>
        </w:rPr>
        <w:br/>
      </w:r>
      <w:r>
        <w:rPr>
          <w:lang w:val="nl-NL"/>
        </w:rPr>
        <w:t>Wijzigingen door de werkgever en de werknemersorganisaties van de pensioenovereenkomst moeten altijd aan ING CDC Pensioenfonds ter toetsing worden voorgelegd. Indien tijdens een herstelplan de pensioenovereenkomst wordt gewijzigd, dan zal het bestuur in de toetsing nadrukkelijk betrekken dat de wijziging in beginsel niet moet leiden tot een zodanige aantasting van de herstelkracht van het fonds, dat een korting noodzakelijk wordt, die zonder de wijziging niet noodzakelijk is.</w:t>
      </w:r>
    </w:p>
    <w:p w14:paraId="7811EFDA" w14:textId="695AD8C2" w:rsidR="007E557F" w:rsidRDefault="007E557F" w:rsidP="007E557F">
      <w:pPr>
        <w:spacing w:after="200" w:line="276" w:lineRule="auto"/>
        <w:rPr>
          <w:lang w:val="nl-NL"/>
        </w:rPr>
      </w:pPr>
      <w:r w:rsidRPr="00B939A4">
        <w:rPr>
          <w:b/>
          <w:lang w:val="nl-NL"/>
        </w:rPr>
        <w:t>Kritisch niveau van de beleidsdekkingsgraad:</w:t>
      </w:r>
      <w:r w:rsidRPr="00B939A4">
        <w:rPr>
          <w:b/>
          <w:lang w:val="nl-NL"/>
        </w:rPr>
        <w:br/>
      </w:r>
      <w:r>
        <w:rPr>
          <w:lang w:val="nl-NL"/>
        </w:rPr>
        <w:t>Op basis van bovenstaande uitgangspunten heeft het fonds berekend bij welke niveaus van de beleidsdekkingsgraad herstel tot het vereist eigen vermogen mogelijk is binnen 10 jaar en hoelang herstel (met toepassing van deze rekenregels) vanuit een situatie van reservetekort naar verwachting in beslag zal nemen</w:t>
      </w:r>
      <w:r w:rsidR="005519EA">
        <w:rPr>
          <w:lang w:val="nl-NL"/>
        </w:rPr>
        <w:t xml:space="preserve"> </w:t>
      </w:r>
      <w:r>
        <w:rPr>
          <w:lang w:val="nl-NL"/>
        </w:rPr>
        <w:t>:</w:t>
      </w:r>
    </w:p>
    <w:tbl>
      <w:tblPr>
        <w:tblStyle w:val="Tabelraster"/>
        <w:tblW w:w="0" w:type="auto"/>
        <w:tblLook w:val="04A0" w:firstRow="1" w:lastRow="0" w:firstColumn="1" w:lastColumn="0" w:noHBand="0" w:noVBand="1"/>
      </w:tblPr>
      <w:tblGrid>
        <w:gridCol w:w="3085"/>
        <w:gridCol w:w="3544"/>
      </w:tblGrid>
      <w:tr w:rsidR="007E557F" w:rsidRPr="000A7159" w14:paraId="377ECF02" w14:textId="77777777" w:rsidTr="0023776C">
        <w:tc>
          <w:tcPr>
            <w:tcW w:w="3085" w:type="dxa"/>
          </w:tcPr>
          <w:p w14:paraId="632B69B7" w14:textId="73CD616E" w:rsidR="007E557F" w:rsidRDefault="007E557F" w:rsidP="0023776C">
            <w:pPr>
              <w:spacing w:after="200" w:line="276" w:lineRule="auto"/>
              <w:jc w:val="center"/>
              <w:rPr>
                <w:lang w:val="nl-NL"/>
              </w:rPr>
            </w:pPr>
            <w:r>
              <w:rPr>
                <w:lang w:val="nl-NL"/>
              </w:rPr>
              <w:t>Scenario:</w:t>
            </w:r>
            <w:r>
              <w:rPr>
                <w:lang w:val="nl-NL"/>
              </w:rPr>
              <w:br/>
              <w:t>Dekkingsgraad of beleidsdekkingsgraad daalt tot:</w:t>
            </w:r>
          </w:p>
        </w:tc>
        <w:tc>
          <w:tcPr>
            <w:tcW w:w="3544" w:type="dxa"/>
          </w:tcPr>
          <w:p w14:paraId="13838480" w14:textId="77777777" w:rsidR="007E557F" w:rsidRDefault="007E557F" w:rsidP="0023776C">
            <w:pPr>
              <w:spacing w:after="200" w:line="276" w:lineRule="auto"/>
              <w:jc w:val="center"/>
              <w:rPr>
                <w:lang w:val="nl-NL"/>
              </w:rPr>
            </w:pPr>
            <w:r>
              <w:rPr>
                <w:lang w:val="nl-NL"/>
              </w:rPr>
              <w:t xml:space="preserve">Herstel van de beleidsdekkingsgraad  </w:t>
            </w:r>
            <w:r>
              <w:rPr>
                <w:lang w:val="nl-NL"/>
              </w:rPr>
              <w:br/>
              <w:t>tot 120% binnen de wettelijke herstelplansystematiek duurt:</w:t>
            </w:r>
          </w:p>
        </w:tc>
      </w:tr>
      <w:tr w:rsidR="007E557F" w14:paraId="652796A0" w14:textId="77777777" w:rsidTr="0023776C">
        <w:tc>
          <w:tcPr>
            <w:tcW w:w="3085" w:type="dxa"/>
          </w:tcPr>
          <w:p w14:paraId="16D85586" w14:textId="19D75F74" w:rsidR="007E557F" w:rsidRDefault="00D34671" w:rsidP="0023776C">
            <w:pPr>
              <w:spacing w:after="200" w:line="276" w:lineRule="auto"/>
              <w:jc w:val="center"/>
              <w:rPr>
                <w:lang w:val="nl-NL"/>
              </w:rPr>
            </w:pPr>
            <w:r>
              <w:rPr>
                <w:lang w:val="nl-NL"/>
              </w:rPr>
              <w:t>8</w:t>
            </w:r>
            <w:r w:rsidR="007E557F">
              <w:rPr>
                <w:lang w:val="nl-NL"/>
              </w:rPr>
              <w:t>0%</w:t>
            </w:r>
          </w:p>
        </w:tc>
        <w:tc>
          <w:tcPr>
            <w:tcW w:w="3544" w:type="dxa"/>
          </w:tcPr>
          <w:p w14:paraId="0455A856" w14:textId="5D3A8236" w:rsidR="007E557F" w:rsidRDefault="007E557F" w:rsidP="0023776C">
            <w:pPr>
              <w:spacing w:after="200" w:line="276" w:lineRule="auto"/>
              <w:jc w:val="center"/>
              <w:rPr>
                <w:lang w:val="nl-NL"/>
              </w:rPr>
            </w:pPr>
            <w:r>
              <w:rPr>
                <w:lang w:val="nl-NL"/>
              </w:rPr>
              <w:t xml:space="preserve">Circa </w:t>
            </w:r>
            <w:r w:rsidR="00EC10E1">
              <w:rPr>
                <w:lang w:val="nl-NL"/>
              </w:rPr>
              <w:t>1</w:t>
            </w:r>
            <w:r w:rsidR="00784445">
              <w:rPr>
                <w:lang w:val="nl-NL"/>
              </w:rPr>
              <w:t>3</w:t>
            </w:r>
            <w:r>
              <w:rPr>
                <w:lang w:val="nl-NL"/>
              </w:rPr>
              <w:t xml:space="preserve"> jaar</w:t>
            </w:r>
          </w:p>
        </w:tc>
      </w:tr>
      <w:tr w:rsidR="007E557F" w14:paraId="51693F4B" w14:textId="77777777" w:rsidTr="0023776C">
        <w:tc>
          <w:tcPr>
            <w:tcW w:w="3085" w:type="dxa"/>
          </w:tcPr>
          <w:p w14:paraId="3ACA587C" w14:textId="1883B60A" w:rsidR="007E557F" w:rsidRDefault="00D34671" w:rsidP="0023776C">
            <w:pPr>
              <w:spacing w:after="200" w:line="276" w:lineRule="auto"/>
              <w:jc w:val="center"/>
              <w:rPr>
                <w:lang w:val="nl-NL"/>
              </w:rPr>
            </w:pPr>
            <w:r>
              <w:rPr>
                <w:lang w:val="nl-NL"/>
              </w:rPr>
              <w:t>9</w:t>
            </w:r>
            <w:r w:rsidR="007E557F">
              <w:rPr>
                <w:lang w:val="nl-NL"/>
              </w:rPr>
              <w:t>0%</w:t>
            </w:r>
          </w:p>
        </w:tc>
        <w:tc>
          <w:tcPr>
            <w:tcW w:w="3544" w:type="dxa"/>
          </w:tcPr>
          <w:p w14:paraId="7FB15726" w14:textId="71EB27D8" w:rsidR="007E557F" w:rsidRDefault="007E557F" w:rsidP="0023776C">
            <w:pPr>
              <w:spacing w:after="200" w:line="276" w:lineRule="auto"/>
              <w:jc w:val="center"/>
              <w:rPr>
                <w:lang w:val="nl-NL"/>
              </w:rPr>
            </w:pPr>
            <w:r>
              <w:rPr>
                <w:lang w:val="nl-NL"/>
              </w:rPr>
              <w:t>Circa</w:t>
            </w:r>
            <w:r w:rsidR="00784445">
              <w:rPr>
                <w:lang w:val="nl-NL"/>
              </w:rPr>
              <w:t xml:space="preserve"> 11</w:t>
            </w:r>
            <w:r>
              <w:rPr>
                <w:lang w:val="nl-NL"/>
              </w:rPr>
              <w:t xml:space="preserve"> jaar</w:t>
            </w:r>
          </w:p>
        </w:tc>
      </w:tr>
      <w:tr w:rsidR="007E557F" w14:paraId="667DF788" w14:textId="77777777" w:rsidTr="0023776C">
        <w:trPr>
          <w:trHeight w:val="276"/>
        </w:trPr>
        <w:tc>
          <w:tcPr>
            <w:tcW w:w="3085" w:type="dxa"/>
          </w:tcPr>
          <w:p w14:paraId="4DAE0F11" w14:textId="77777777" w:rsidR="007E557F" w:rsidRDefault="007E557F" w:rsidP="0023776C">
            <w:pPr>
              <w:spacing w:after="200" w:line="276" w:lineRule="auto"/>
              <w:jc w:val="center"/>
              <w:rPr>
                <w:lang w:val="nl-NL"/>
              </w:rPr>
            </w:pPr>
            <w:r>
              <w:rPr>
                <w:lang w:val="nl-NL"/>
              </w:rPr>
              <w:t>100%</w:t>
            </w:r>
          </w:p>
        </w:tc>
        <w:tc>
          <w:tcPr>
            <w:tcW w:w="3544" w:type="dxa"/>
          </w:tcPr>
          <w:p w14:paraId="2984CB74" w14:textId="65647A16" w:rsidR="007E557F" w:rsidRDefault="007E557F" w:rsidP="0023776C">
            <w:pPr>
              <w:spacing w:after="200" w:line="276" w:lineRule="auto"/>
              <w:jc w:val="center"/>
              <w:rPr>
                <w:lang w:val="nl-NL"/>
              </w:rPr>
            </w:pPr>
            <w:r>
              <w:rPr>
                <w:lang w:val="nl-NL"/>
              </w:rPr>
              <w:t xml:space="preserve">Circa </w:t>
            </w:r>
            <w:r w:rsidR="00784445">
              <w:rPr>
                <w:lang w:val="nl-NL"/>
              </w:rPr>
              <w:t>9</w:t>
            </w:r>
            <w:r>
              <w:rPr>
                <w:lang w:val="nl-NL"/>
              </w:rPr>
              <w:t xml:space="preserve"> jaar</w:t>
            </w:r>
          </w:p>
        </w:tc>
      </w:tr>
    </w:tbl>
    <w:p w14:paraId="3AF1C7B8" w14:textId="02FC3413" w:rsidR="005519EA" w:rsidRDefault="007E557F" w:rsidP="005519EA">
      <w:pPr>
        <w:spacing w:after="200" w:line="276" w:lineRule="auto"/>
        <w:rPr>
          <w:lang w:val="nl-NL"/>
        </w:rPr>
      </w:pPr>
      <w:r>
        <w:rPr>
          <w:lang w:val="nl-NL"/>
        </w:rPr>
        <w:br/>
      </w:r>
      <w:r w:rsidR="005519EA" w:rsidRPr="00D8521F">
        <w:rPr>
          <w:lang w:val="nl-NL"/>
        </w:rPr>
        <w:t xml:space="preserve">Deze projecties </w:t>
      </w:r>
      <w:r w:rsidR="005519EA">
        <w:rPr>
          <w:lang w:val="nl-NL"/>
        </w:rPr>
        <w:t xml:space="preserve">van dekkingsgraadherstel </w:t>
      </w:r>
      <w:r w:rsidR="005519EA" w:rsidRPr="00D8521F">
        <w:rPr>
          <w:lang w:val="nl-NL"/>
        </w:rPr>
        <w:t xml:space="preserve">zijn gemaakt op basis van de wettelijk voorgeschreven herstelplansystematiek. </w:t>
      </w:r>
      <w:r w:rsidR="00EC10E1">
        <w:rPr>
          <w:lang w:val="nl-NL"/>
        </w:rPr>
        <w:t>Dit is een modelmatige projectie waaraan geen zekerheden kunnen worden ontleend. Of herstel van de dekkingsgraad plaatsvindt, zal afhangen van de feitelijke ontwikkelingen op de financi</w:t>
      </w:r>
      <w:r w:rsidR="00EC10E1">
        <w:rPr>
          <w:rFonts w:ascii="Arial" w:hAnsi="Arial" w:cs="Arial"/>
          <w:lang w:val="nl-NL"/>
        </w:rPr>
        <w:t>ë</w:t>
      </w:r>
      <w:r w:rsidR="00EC10E1">
        <w:rPr>
          <w:lang w:val="nl-NL"/>
        </w:rPr>
        <w:t>le markten.</w:t>
      </w:r>
      <w:r w:rsidRPr="00D8521F">
        <w:rPr>
          <w:lang w:val="nl-NL"/>
        </w:rPr>
        <w:br/>
      </w:r>
      <w:r w:rsidR="00EC10E1" w:rsidRPr="00D8521F">
        <w:rPr>
          <w:lang w:val="nl-NL"/>
        </w:rPr>
        <w:br/>
      </w:r>
      <w:r w:rsidRPr="00D8521F">
        <w:rPr>
          <w:lang w:val="nl-NL"/>
        </w:rPr>
        <w:t xml:space="preserve">Het risicoprofiel van het strategisch beleggingsbeleid en de daarbij toegestane tactische afwijkingen is zodanig, dat de kans dat de beleidsdekkingsgraad daalt beneden een niveau waaruit niet redelijkerwijs hersteld kan worden, </w:t>
      </w:r>
      <w:r w:rsidR="005519EA">
        <w:rPr>
          <w:lang w:val="nl-NL"/>
        </w:rPr>
        <w:t>acceptabel</w:t>
      </w:r>
      <w:r w:rsidRPr="00D8521F">
        <w:rPr>
          <w:lang w:val="nl-NL"/>
        </w:rPr>
        <w:t xml:space="preserve"> is. </w:t>
      </w:r>
      <w:r w:rsidR="005519EA">
        <w:rPr>
          <w:lang w:val="nl-NL"/>
        </w:rPr>
        <w:t>ING CDC Pensioenfonds</w:t>
      </w:r>
      <w:r w:rsidR="005519EA" w:rsidRPr="00D8521F">
        <w:rPr>
          <w:lang w:val="nl-NL"/>
        </w:rPr>
        <w:t xml:space="preserve"> </w:t>
      </w:r>
      <w:r w:rsidR="005519EA">
        <w:rPr>
          <w:lang w:val="nl-NL"/>
        </w:rPr>
        <w:t xml:space="preserve">heeft bepaald dat de kritische ondergrens van de beleidsdekkingsgraad ongeveer </w:t>
      </w:r>
      <w:r w:rsidR="00784445">
        <w:rPr>
          <w:lang w:val="nl-NL"/>
        </w:rPr>
        <w:t>90</w:t>
      </w:r>
      <w:r w:rsidR="005519EA">
        <w:rPr>
          <w:lang w:val="nl-NL"/>
        </w:rPr>
        <w:t xml:space="preserve">% is op basis van de maximale </w:t>
      </w:r>
      <w:r w:rsidR="005519EA">
        <w:rPr>
          <w:lang w:val="nl-NL"/>
        </w:rPr>
        <w:lastRenderedPageBreak/>
        <w:t>parameters van de Commissie Parameters</w:t>
      </w:r>
      <w:r w:rsidR="00784445">
        <w:rPr>
          <w:lang w:val="nl-NL"/>
        </w:rPr>
        <w:t>.</w:t>
      </w:r>
      <w:r w:rsidR="005519EA">
        <w:rPr>
          <w:lang w:val="nl-NL"/>
        </w:rPr>
        <w:t xml:space="preserve"> Dit leidt ertoe dat het fonds</w:t>
      </w:r>
      <w:r w:rsidR="005519EA" w:rsidRPr="00D8521F">
        <w:rPr>
          <w:lang w:val="nl-NL"/>
        </w:rPr>
        <w:t xml:space="preserve"> het volgende beleid</w:t>
      </w:r>
      <w:r w:rsidR="005519EA">
        <w:rPr>
          <w:lang w:val="nl-NL"/>
        </w:rPr>
        <w:t xml:space="preserve"> voert ten aanzien van crisis</w:t>
      </w:r>
      <w:r w:rsidR="005519EA" w:rsidRPr="00D8521F">
        <w:rPr>
          <w:lang w:val="nl-NL"/>
        </w:rPr>
        <w:t>niveaus:</w:t>
      </w:r>
    </w:p>
    <w:p w14:paraId="098E06CF" w14:textId="3894B6CB" w:rsidR="007E557F" w:rsidRDefault="007E557F" w:rsidP="007E557F">
      <w:pPr>
        <w:spacing w:after="200" w:line="276" w:lineRule="auto"/>
        <w:rPr>
          <w:lang w:val="nl-NL"/>
        </w:rPr>
      </w:pPr>
    </w:p>
    <w:p w14:paraId="28A7E3FB" w14:textId="77777777" w:rsidR="007E557F" w:rsidRPr="001F4955" w:rsidRDefault="007E557F" w:rsidP="001E699B">
      <w:pPr>
        <w:pStyle w:val="Lijstalinea"/>
        <w:numPr>
          <w:ilvl w:val="0"/>
          <w:numId w:val="42"/>
        </w:numPr>
        <w:spacing w:after="200" w:line="276" w:lineRule="auto"/>
        <w:rPr>
          <w:lang w:val="nl-NL"/>
        </w:rPr>
      </w:pPr>
      <w:r w:rsidRPr="004F5C27">
        <w:rPr>
          <w:lang w:val="nl-NL"/>
        </w:rPr>
        <w:t xml:space="preserve">Reservetekort: de beleidsdekkingsgraad daalt beneden het vereist eigen vermogen. </w:t>
      </w:r>
      <w:r w:rsidRPr="004F5C27">
        <w:rPr>
          <w:lang w:val="nl-NL"/>
        </w:rPr>
        <w:br/>
        <w:t>Opstellen van herstelplan; inlichten van De Nederlandsche Bank; communicatie met de verzekerden en andere belanghebbenden. Het herstelplan wordt (met toelichting) gepubliceerd op de website.</w:t>
      </w:r>
      <w:r w:rsidRPr="004F5C27">
        <w:rPr>
          <w:lang w:val="nl-NL"/>
        </w:rPr>
        <w:br/>
      </w:r>
    </w:p>
    <w:p w14:paraId="4BE1D12D" w14:textId="3F21033A" w:rsidR="007E557F" w:rsidRPr="002A5F41" w:rsidRDefault="007E557F" w:rsidP="001E699B">
      <w:pPr>
        <w:pStyle w:val="Lijstalinea"/>
        <w:numPr>
          <w:ilvl w:val="0"/>
          <w:numId w:val="42"/>
        </w:numPr>
        <w:spacing w:after="200" w:line="276" w:lineRule="auto"/>
        <w:rPr>
          <w:lang w:val="nl-NL"/>
        </w:rPr>
      </w:pPr>
      <w:r w:rsidRPr="007F7155">
        <w:rPr>
          <w:lang w:val="nl-NL"/>
        </w:rPr>
        <w:t xml:space="preserve">Dekkingstekort: de beleidsdekkingsgraad of dekkingsgraad daalt onder 105%. Het bestuur overweegt of bijstelling van het strategisch beleggingsbeleid nodig is, met als gevolg een verlaging van het risicoprofiel van de balans, om zeker te stellen dat het kritisch niveau </w:t>
      </w:r>
      <w:r w:rsidRPr="002A5F41">
        <w:rPr>
          <w:lang w:val="nl-NL"/>
        </w:rPr>
        <w:t>niet bereikt wordt.</w:t>
      </w:r>
      <w:r w:rsidRPr="002A5F41">
        <w:rPr>
          <w:lang w:val="nl-NL"/>
        </w:rPr>
        <w:br/>
      </w:r>
    </w:p>
    <w:p w14:paraId="31227FA5" w14:textId="3C355C52" w:rsidR="007E557F" w:rsidRPr="004F5C27" w:rsidRDefault="007E557F" w:rsidP="001E699B">
      <w:pPr>
        <w:pStyle w:val="Lijstalinea"/>
        <w:numPr>
          <w:ilvl w:val="0"/>
          <w:numId w:val="42"/>
        </w:numPr>
        <w:spacing w:after="200" w:line="276" w:lineRule="auto"/>
        <w:rPr>
          <w:lang w:val="nl-NL"/>
        </w:rPr>
      </w:pPr>
      <w:r w:rsidRPr="002A5F41">
        <w:rPr>
          <w:lang w:val="nl-NL"/>
        </w:rPr>
        <w:t xml:space="preserve">Onderdekking: </w:t>
      </w:r>
      <w:r w:rsidRPr="00BF65F8">
        <w:rPr>
          <w:lang w:val="nl-NL"/>
        </w:rPr>
        <w:t xml:space="preserve">de beleidsdekkingsgraad </w:t>
      </w:r>
      <w:r w:rsidRPr="004F5C27">
        <w:rPr>
          <w:lang w:val="nl-NL"/>
        </w:rPr>
        <w:t xml:space="preserve">of dekkingsgraad daalt onder 100%.  Implementatie van maatregelen, indien en voor zover uit de dan gemaakte berekeningen en analyses blijkt dat de (statistische) kans op het dalen van de beleidsdekkingsgraad tot </w:t>
      </w:r>
      <w:r w:rsidR="005519EA">
        <w:rPr>
          <w:lang w:val="nl-NL"/>
        </w:rPr>
        <w:t>de kritische dekkingsgraad</w:t>
      </w:r>
      <w:r w:rsidRPr="004F5C27">
        <w:rPr>
          <w:lang w:val="nl-NL"/>
        </w:rPr>
        <w:t xml:space="preserve"> groter is dan 2,5%. Het bestuur is zich er van bewust dat dergelijke risicoverlagende maatregelen het rendementspotentieel van de beleggingsportefeuille kunnen verminderen en dat de vooruitzichten voor toeslagverlening er door kunnen afnemen. In deze situatie gaat bescherming van de opgebouwde pensioenen evenwel voor het rendementsstreven.</w:t>
      </w:r>
      <w:r w:rsidRPr="004F5C27">
        <w:rPr>
          <w:lang w:val="nl-NL"/>
        </w:rPr>
        <w:br/>
      </w:r>
    </w:p>
    <w:p w14:paraId="13879DAF" w14:textId="77777777" w:rsidR="007E557F" w:rsidRPr="00D56F12" w:rsidRDefault="007E557F" w:rsidP="001E699B">
      <w:pPr>
        <w:pStyle w:val="Lijstalinea"/>
        <w:numPr>
          <w:ilvl w:val="0"/>
          <w:numId w:val="36"/>
        </w:numPr>
        <w:spacing w:before="0" w:after="200" w:line="276" w:lineRule="auto"/>
        <w:rPr>
          <w:b/>
          <w:lang w:val="nl-NL"/>
        </w:rPr>
      </w:pPr>
      <w:r w:rsidRPr="00D56F12">
        <w:rPr>
          <w:b/>
          <w:lang w:val="nl-NL"/>
        </w:rPr>
        <w:t>Evenwichtige belangenafweging bij crises en communicatie bij crises</w:t>
      </w:r>
    </w:p>
    <w:p w14:paraId="54B8F3A7" w14:textId="77777777" w:rsidR="007E557F" w:rsidRDefault="007E557F" w:rsidP="007E557F">
      <w:pPr>
        <w:spacing w:after="200" w:line="276" w:lineRule="auto"/>
        <w:rPr>
          <w:lang w:val="nl-NL"/>
        </w:rPr>
      </w:pPr>
      <w:r>
        <w:rPr>
          <w:lang w:val="nl-NL"/>
        </w:rPr>
        <w:t>Vanuit zijn verantwoordelijkheid voor een evenwichtige afweging van de belangen van alle belanghebbenden bij ING CDC Pensioenfonds heeft het bestuur de genoemde beleidskeuzes gemaakt met betrekking tot:</w:t>
      </w:r>
    </w:p>
    <w:p w14:paraId="56682688" w14:textId="77777777" w:rsidR="007E557F" w:rsidRDefault="007E557F" w:rsidP="001E699B">
      <w:pPr>
        <w:pStyle w:val="Lijstalinea"/>
        <w:numPr>
          <w:ilvl w:val="0"/>
          <w:numId w:val="37"/>
        </w:numPr>
        <w:spacing w:before="0" w:after="200" w:line="276" w:lineRule="auto"/>
        <w:rPr>
          <w:lang w:val="nl-NL"/>
        </w:rPr>
      </w:pPr>
      <w:r>
        <w:rPr>
          <w:lang w:val="nl-NL"/>
        </w:rPr>
        <w:t>Evenredige verwerking van kortingen over pensioenaanspraken en –rechten.</w:t>
      </w:r>
    </w:p>
    <w:p w14:paraId="749B1994" w14:textId="77777777" w:rsidR="007E557F" w:rsidRDefault="007E557F" w:rsidP="001E699B">
      <w:pPr>
        <w:pStyle w:val="Lijstalinea"/>
        <w:numPr>
          <w:ilvl w:val="0"/>
          <w:numId w:val="37"/>
        </w:numPr>
        <w:spacing w:before="0" w:after="200" w:line="276" w:lineRule="auto"/>
        <w:rPr>
          <w:lang w:val="nl-NL"/>
        </w:rPr>
      </w:pPr>
      <w:r>
        <w:rPr>
          <w:lang w:val="nl-NL"/>
        </w:rPr>
        <w:t>Het (wel of niet) hanteren van een spreidingstermijn bij de verwerking van kortingen.</w:t>
      </w:r>
    </w:p>
    <w:p w14:paraId="7D312B5D" w14:textId="77777777" w:rsidR="007E557F" w:rsidRDefault="007E557F" w:rsidP="001E699B">
      <w:pPr>
        <w:pStyle w:val="Lijstalinea"/>
        <w:numPr>
          <w:ilvl w:val="0"/>
          <w:numId w:val="37"/>
        </w:numPr>
        <w:spacing w:before="0" w:after="200" w:line="276" w:lineRule="auto"/>
        <w:rPr>
          <w:lang w:val="nl-NL"/>
        </w:rPr>
      </w:pPr>
      <w:r>
        <w:rPr>
          <w:lang w:val="nl-NL"/>
        </w:rPr>
        <w:t>H</w:t>
      </w:r>
      <w:r w:rsidRPr="0091114A">
        <w:rPr>
          <w:lang w:val="nl-NL"/>
        </w:rPr>
        <w:t xml:space="preserve">et </w:t>
      </w:r>
      <w:r>
        <w:rPr>
          <w:lang w:val="nl-NL"/>
        </w:rPr>
        <w:t xml:space="preserve">hanteren van een 10-jaars </w:t>
      </w:r>
      <w:r w:rsidRPr="0091114A">
        <w:rPr>
          <w:lang w:val="nl-NL"/>
        </w:rPr>
        <w:t>termijn</w:t>
      </w:r>
      <w:r>
        <w:rPr>
          <w:lang w:val="nl-NL"/>
        </w:rPr>
        <w:t xml:space="preserve"> voor herstel van een reservetekort.</w:t>
      </w:r>
    </w:p>
    <w:p w14:paraId="62597E80" w14:textId="77777777" w:rsidR="007E557F" w:rsidRDefault="007E557F" w:rsidP="001E699B">
      <w:pPr>
        <w:pStyle w:val="Lijstalinea"/>
        <w:numPr>
          <w:ilvl w:val="0"/>
          <w:numId w:val="37"/>
        </w:numPr>
        <w:spacing w:before="0" w:after="200" w:line="276" w:lineRule="auto"/>
        <w:rPr>
          <w:lang w:val="nl-NL"/>
        </w:rPr>
      </w:pPr>
      <w:r>
        <w:rPr>
          <w:lang w:val="nl-NL"/>
        </w:rPr>
        <w:t>De uitgangspunten voor opstellen van herstelplannen, waaronder het uitgangspunt dat bij een  reservetekort herstel van de beleidsdekkingsgraad zwaarder weegt dan toeslagverlening.</w:t>
      </w:r>
    </w:p>
    <w:p w14:paraId="1E56EE1C" w14:textId="77777777" w:rsidR="007E557F" w:rsidRDefault="007E557F" w:rsidP="007E557F">
      <w:pPr>
        <w:spacing w:after="200" w:line="276" w:lineRule="auto"/>
        <w:rPr>
          <w:lang w:val="nl-NL"/>
        </w:rPr>
      </w:pPr>
      <w:r>
        <w:rPr>
          <w:lang w:val="nl-NL"/>
        </w:rPr>
        <w:t>Het fonds i</w:t>
      </w:r>
      <w:r w:rsidRPr="00BE5CE2">
        <w:rPr>
          <w:lang w:val="nl-NL"/>
        </w:rPr>
        <w:t xml:space="preserve">nformeert de deelnemers, ex-deelnemers en pensioengerechtigden pro actief via de website met </w:t>
      </w:r>
      <w:r>
        <w:rPr>
          <w:lang w:val="nl-NL"/>
        </w:rPr>
        <w:t xml:space="preserve">nieuwsberichten </w:t>
      </w:r>
      <w:r w:rsidRPr="00BE5CE2">
        <w:rPr>
          <w:lang w:val="nl-NL"/>
        </w:rPr>
        <w:t xml:space="preserve">en kwartaalberichten en met speciale nieuwsbrieven over de financiële positie van het fonds. Bij een (dreigende) crisis wordt de communicatie geïntensiveerd, indien nodig via e-mail alerts en/of persoonlijke brieven. De Nederlandsche Bank wordt direct op de hoogte gesteld. Bij een (dreigende) crisis worden de werkgever en de vakorganisaties, die gezamenlijk de pensioenovereenkomst afsluiten, over de crisissituatie en de voorgenomen maatregelen geïnformeerd via een door </w:t>
      </w:r>
      <w:r>
        <w:rPr>
          <w:lang w:val="nl-NL"/>
        </w:rPr>
        <w:t xml:space="preserve">het fonds </w:t>
      </w:r>
      <w:r w:rsidRPr="00BE5CE2">
        <w:rPr>
          <w:lang w:val="nl-NL"/>
        </w:rPr>
        <w:t>bi</w:t>
      </w:r>
      <w:r>
        <w:rPr>
          <w:lang w:val="nl-NL"/>
        </w:rPr>
        <w:t>jeengeroepen tripartiet overleg</w:t>
      </w:r>
      <w:r w:rsidRPr="00BE5CE2">
        <w:rPr>
          <w:lang w:val="nl-NL"/>
        </w:rPr>
        <w:t>.</w:t>
      </w:r>
    </w:p>
    <w:p w14:paraId="07F97A72" w14:textId="77777777" w:rsidR="005564FD" w:rsidRPr="00BE5CE2" w:rsidRDefault="005564FD" w:rsidP="007E557F">
      <w:pPr>
        <w:spacing w:after="200" w:line="276" w:lineRule="auto"/>
        <w:rPr>
          <w:lang w:val="nl-NL"/>
        </w:rPr>
      </w:pPr>
    </w:p>
    <w:p w14:paraId="08DB2BD4" w14:textId="77777777" w:rsidR="005564FD" w:rsidRDefault="005564FD">
      <w:pPr>
        <w:spacing w:after="200" w:line="276" w:lineRule="auto"/>
        <w:rPr>
          <w:rFonts w:asciiTheme="majorHAnsi" w:eastAsiaTheme="majorEastAsia" w:hAnsiTheme="majorHAnsi" w:cstheme="majorBidi" w:hint="eastAsia"/>
          <w:b/>
          <w:bCs/>
          <w:sz w:val="24"/>
          <w:szCs w:val="28"/>
          <w:lang w:val="nl-NL"/>
        </w:rPr>
      </w:pPr>
      <w:r>
        <w:rPr>
          <w:lang w:val="nl-NL"/>
        </w:rPr>
        <w:br w:type="page"/>
      </w:r>
    </w:p>
    <w:p w14:paraId="5B2D1145" w14:textId="20665CD3" w:rsidR="00697A7C" w:rsidRPr="00697A7C" w:rsidRDefault="00697A7C" w:rsidP="003B4AE4">
      <w:pPr>
        <w:pStyle w:val="Kop1"/>
        <w:numPr>
          <w:ilvl w:val="0"/>
          <w:numId w:val="0"/>
        </w:numPr>
        <w:rPr>
          <w:rFonts w:hint="eastAsia"/>
          <w:lang w:val="nl-NL"/>
        </w:rPr>
      </w:pPr>
      <w:bookmarkStart w:id="66" w:name="_Toc231804788"/>
      <w:r w:rsidRPr="00697A7C">
        <w:rPr>
          <w:lang w:val="nl-NL"/>
        </w:rPr>
        <w:lastRenderedPageBreak/>
        <w:t xml:space="preserve">BIJLAGE </w:t>
      </w:r>
      <w:r w:rsidR="00784445">
        <w:rPr>
          <w:lang w:val="nl-NL"/>
        </w:rPr>
        <w:t>5</w:t>
      </w:r>
      <w:r w:rsidRPr="00697A7C">
        <w:rPr>
          <w:lang w:val="nl-NL"/>
        </w:rPr>
        <w:t>: Noodprocedure</w:t>
      </w:r>
      <w:bookmarkEnd w:id="66"/>
    </w:p>
    <w:p w14:paraId="6AFC792D" w14:textId="77777777" w:rsidR="00697A7C" w:rsidRPr="00697A7C" w:rsidRDefault="00697A7C" w:rsidP="00697A7C">
      <w:pPr>
        <w:rPr>
          <w:lang w:val="nl-NL"/>
        </w:rPr>
      </w:pPr>
    </w:p>
    <w:p w14:paraId="72C1AFE0" w14:textId="77777777" w:rsidR="00697A7C" w:rsidRPr="00697A7C" w:rsidRDefault="00FE03A8" w:rsidP="00697A7C">
      <w:pPr>
        <w:rPr>
          <w:lang w:val="nl-NL"/>
        </w:rPr>
      </w:pPr>
      <w:r>
        <w:rPr>
          <w:lang w:val="nl-NL"/>
        </w:rPr>
        <w:t>ING CDC Pensioenfonds</w:t>
      </w:r>
      <w:r w:rsidR="00697A7C" w:rsidRPr="00697A7C">
        <w:rPr>
          <w:lang w:val="nl-NL"/>
        </w:rPr>
        <w:t xml:space="preserve"> heeft een lange termijn beleggingsstrategie die afgestemd is op de pensioendoelstellingen. Prudent beleid vereist een zorgvuldige besluitvorming. Het verleden leert dat er door (systeem)cris</w:t>
      </w:r>
      <w:r w:rsidR="00A442DE">
        <w:rPr>
          <w:lang w:val="nl-NL"/>
        </w:rPr>
        <w:t>e</w:t>
      </w:r>
      <w:r w:rsidR="00697A7C" w:rsidRPr="00697A7C">
        <w:rPr>
          <w:lang w:val="nl-NL"/>
        </w:rPr>
        <w:t xml:space="preserve">s in de financiële markten bijzondere omstandigheden met bijbehorende risico’s en kansen kunnen ontstaan. Om hier snel op in te kunnen spelen, kent het fonds een noodprocedure. De doelstelling van de noodprocedure is dat het bestuur binnen 24 uur een besluit kan nemen. </w:t>
      </w:r>
    </w:p>
    <w:p w14:paraId="0B852063" w14:textId="77777777" w:rsidR="00697A7C" w:rsidRPr="00697A7C" w:rsidRDefault="00697A7C" w:rsidP="00697A7C">
      <w:pPr>
        <w:rPr>
          <w:lang w:val="nl-NL"/>
        </w:rPr>
      </w:pPr>
    </w:p>
    <w:p w14:paraId="0D381AC2" w14:textId="77777777" w:rsidR="00697A7C" w:rsidRPr="00697A7C" w:rsidRDefault="00697A7C" w:rsidP="00697A7C">
      <w:pPr>
        <w:rPr>
          <w:lang w:val="nl-NL"/>
        </w:rPr>
      </w:pPr>
      <w:r w:rsidRPr="00697A7C">
        <w:rPr>
          <w:lang w:val="nl-NL"/>
        </w:rPr>
        <w:t>De noodprocedure bestaat uit vier stappen:</w:t>
      </w:r>
    </w:p>
    <w:p w14:paraId="3C673F12" w14:textId="77777777" w:rsidR="00697A7C" w:rsidRPr="003B4AE4" w:rsidRDefault="00697A7C" w:rsidP="001E699B">
      <w:pPr>
        <w:pStyle w:val="Lijstalinea"/>
        <w:numPr>
          <w:ilvl w:val="0"/>
          <w:numId w:val="25"/>
        </w:numPr>
        <w:ind w:left="714" w:hanging="357"/>
        <w:rPr>
          <w:lang w:val="nl-NL"/>
        </w:rPr>
      </w:pPr>
      <w:r w:rsidRPr="003B4AE4">
        <w:rPr>
          <w:lang w:val="nl-NL"/>
        </w:rPr>
        <w:t>Bijeenroepen van het bestuur op zeer korte termijn</w:t>
      </w:r>
      <w:r w:rsidR="004F5C27">
        <w:rPr>
          <w:lang w:val="nl-NL"/>
        </w:rPr>
        <w:t>.</w:t>
      </w:r>
    </w:p>
    <w:p w14:paraId="5FEB7106" w14:textId="77777777" w:rsidR="00697A7C" w:rsidRPr="003B4AE4" w:rsidRDefault="00697A7C" w:rsidP="001E699B">
      <w:pPr>
        <w:pStyle w:val="Lijstalinea"/>
        <w:numPr>
          <w:ilvl w:val="0"/>
          <w:numId w:val="25"/>
        </w:numPr>
        <w:ind w:left="714" w:hanging="357"/>
        <w:rPr>
          <w:lang w:val="nl-NL"/>
        </w:rPr>
      </w:pPr>
      <w:r w:rsidRPr="003B4AE4">
        <w:rPr>
          <w:lang w:val="nl-NL"/>
        </w:rPr>
        <w:t>Besluitvorming gericht op bedreigingen en kansen in risicosituaties</w:t>
      </w:r>
      <w:r w:rsidR="004F5C27">
        <w:rPr>
          <w:lang w:val="nl-NL"/>
        </w:rPr>
        <w:t>.</w:t>
      </w:r>
      <w:r w:rsidRPr="003B4AE4">
        <w:rPr>
          <w:lang w:val="nl-NL"/>
        </w:rPr>
        <w:t xml:space="preserve"> </w:t>
      </w:r>
    </w:p>
    <w:p w14:paraId="665BEB10" w14:textId="77777777" w:rsidR="00697A7C" w:rsidRPr="003B4AE4" w:rsidRDefault="00697A7C" w:rsidP="001E699B">
      <w:pPr>
        <w:pStyle w:val="Lijstalinea"/>
        <w:numPr>
          <w:ilvl w:val="0"/>
          <w:numId w:val="25"/>
        </w:numPr>
        <w:ind w:left="714" w:hanging="357"/>
        <w:rPr>
          <w:lang w:val="nl-NL"/>
        </w:rPr>
      </w:pPr>
      <w:r w:rsidRPr="003B4AE4">
        <w:rPr>
          <w:lang w:val="nl-NL"/>
        </w:rPr>
        <w:t>Intensieve monitoring en rapportage</w:t>
      </w:r>
      <w:r w:rsidR="004F5C27">
        <w:rPr>
          <w:lang w:val="nl-NL"/>
        </w:rPr>
        <w:t>.</w:t>
      </w:r>
    </w:p>
    <w:p w14:paraId="6F55B6A0" w14:textId="77777777" w:rsidR="00697A7C" w:rsidRPr="003B4AE4" w:rsidRDefault="00697A7C" w:rsidP="001E699B">
      <w:pPr>
        <w:pStyle w:val="Lijstalinea"/>
        <w:numPr>
          <w:ilvl w:val="0"/>
          <w:numId w:val="25"/>
        </w:numPr>
        <w:ind w:left="714" w:hanging="357"/>
        <w:rPr>
          <w:lang w:val="nl-NL"/>
        </w:rPr>
      </w:pPr>
      <w:r w:rsidRPr="003B4AE4">
        <w:rPr>
          <w:lang w:val="nl-NL"/>
        </w:rPr>
        <w:t>Terugkeer naar normale situatie</w:t>
      </w:r>
      <w:r w:rsidR="004F5C27">
        <w:rPr>
          <w:lang w:val="nl-NL"/>
        </w:rPr>
        <w:t>.</w:t>
      </w:r>
    </w:p>
    <w:p w14:paraId="464C14F5" w14:textId="77777777" w:rsidR="00697A7C" w:rsidRPr="00697A7C" w:rsidRDefault="00697A7C" w:rsidP="00697A7C">
      <w:pPr>
        <w:rPr>
          <w:lang w:val="nl-NL"/>
        </w:rPr>
      </w:pPr>
    </w:p>
    <w:p w14:paraId="6FCCC628" w14:textId="77777777" w:rsidR="00697A7C" w:rsidRPr="003B4AE4" w:rsidRDefault="00697A7C" w:rsidP="001E699B">
      <w:pPr>
        <w:pStyle w:val="Lijstalinea"/>
        <w:numPr>
          <w:ilvl w:val="0"/>
          <w:numId w:val="26"/>
        </w:numPr>
        <w:ind w:left="357" w:hanging="357"/>
        <w:rPr>
          <w:i/>
          <w:lang w:val="nl-NL"/>
        </w:rPr>
      </w:pPr>
      <w:r w:rsidRPr="003B4AE4">
        <w:rPr>
          <w:i/>
          <w:lang w:val="nl-NL"/>
        </w:rPr>
        <w:t>Bijeenroepen van het bestuur op zeer korte termijn</w:t>
      </w:r>
    </w:p>
    <w:p w14:paraId="1DDACD7E" w14:textId="77777777" w:rsidR="00697A7C" w:rsidRPr="00697A7C" w:rsidRDefault="00697A7C" w:rsidP="00697A7C">
      <w:pPr>
        <w:rPr>
          <w:lang w:val="nl-NL"/>
        </w:rPr>
      </w:pPr>
      <w:r w:rsidRPr="00697A7C">
        <w:rPr>
          <w:lang w:val="nl-NL"/>
        </w:rPr>
        <w:t>Het opstarten van de noodprocedure kan gedaan worden door de leden van het crisiscomité beleggingen zijnde de:</w:t>
      </w:r>
    </w:p>
    <w:p w14:paraId="6E0A100C" w14:textId="66237B2C" w:rsidR="00697A7C" w:rsidRPr="003B4AE4" w:rsidRDefault="00697A7C" w:rsidP="001E699B">
      <w:pPr>
        <w:pStyle w:val="Lijstalinea"/>
        <w:numPr>
          <w:ilvl w:val="0"/>
          <w:numId w:val="27"/>
        </w:numPr>
        <w:rPr>
          <w:lang w:val="nl-NL"/>
        </w:rPr>
      </w:pPr>
      <w:r w:rsidRPr="003B4AE4">
        <w:rPr>
          <w:lang w:val="nl-NL"/>
        </w:rPr>
        <w:t>De voorzitter van het bestuur</w:t>
      </w:r>
    </w:p>
    <w:p w14:paraId="13167BD2" w14:textId="77777777" w:rsidR="00697A7C" w:rsidRPr="003B4AE4" w:rsidRDefault="00697A7C" w:rsidP="001E699B">
      <w:pPr>
        <w:pStyle w:val="Lijstalinea"/>
        <w:numPr>
          <w:ilvl w:val="0"/>
          <w:numId w:val="27"/>
        </w:numPr>
        <w:rPr>
          <w:lang w:val="nl-NL"/>
        </w:rPr>
      </w:pPr>
      <w:r w:rsidRPr="003B4AE4">
        <w:rPr>
          <w:lang w:val="nl-NL"/>
        </w:rPr>
        <w:t>Portefeuillehouders vermogensbeheer van het bestuur</w:t>
      </w:r>
    </w:p>
    <w:p w14:paraId="6098EAA6" w14:textId="77777777" w:rsidR="00697A7C" w:rsidRPr="003B4AE4" w:rsidRDefault="00697A7C" w:rsidP="001E699B">
      <w:pPr>
        <w:pStyle w:val="Lijstalinea"/>
        <w:numPr>
          <w:ilvl w:val="0"/>
          <w:numId w:val="27"/>
        </w:numPr>
        <w:rPr>
          <w:lang w:val="nl-NL"/>
        </w:rPr>
      </w:pPr>
      <w:r w:rsidRPr="003B4AE4">
        <w:rPr>
          <w:lang w:val="nl-NL"/>
        </w:rPr>
        <w:t>Directeur bestuursbureau</w:t>
      </w:r>
    </w:p>
    <w:p w14:paraId="656EC775" w14:textId="77777777" w:rsidR="00697A7C" w:rsidRPr="003B4AE4" w:rsidRDefault="004F5C27" w:rsidP="001E699B">
      <w:pPr>
        <w:pStyle w:val="Lijstalinea"/>
        <w:numPr>
          <w:ilvl w:val="0"/>
          <w:numId w:val="27"/>
        </w:numPr>
        <w:rPr>
          <w:lang w:val="nl-NL"/>
        </w:rPr>
      </w:pPr>
      <w:r>
        <w:rPr>
          <w:lang w:val="nl-NL"/>
        </w:rPr>
        <w:t>Hoofd</w:t>
      </w:r>
      <w:r w:rsidR="00697A7C" w:rsidRPr="003B4AE4">
        <w:rPr>
          <w:lang w:val="nl-NL"/>
        </w:rPr>
        <w:t xml:space="preserve"> beleggingen bestuursbureau</w:t>
      </w:r>
    </w:p>
    <w:p w14:paraId="65E6B595" w14:textId="77777777" w:rsidR="00697A7C" w:rsidRPr="003B4AE4" w:rsidRDefault="00697A7C" w:rsidP="001E699B">
      <w:pPr>
        <w:pStyle w:val="Lijstalinea"/>
        <w:numPr>
          <w:ilvl w:val="0"/>
          <w:numId w:val="27"/>
        </w:numPr>
        <w:rPr>
          <w:lang w:val="nl-NL"/>
        </w:rPr>
      </w:pPr>
      <w:r w:rsidRPr="003B4AE4">
        <w:rPr>
          <w:lang w:val="nl-NL"/>
        </w:rPr>
        <w:t>Integraal risicomanager bestuursbureau</w:t>
      </w:r>
    </w:p>
    <w:p w14:paraId="5ED10C6A" w14:textId="77777777" w:rsidR="00697A7C" w:rsidRPr="00697A7C" w:rsidRDefault="00697A7C" w:rsidP="00697A7C">
      <w:pPr>
        <w:rPr>
          <w:lang w:val="nl-NL"/>
        </w:rPr>
      </w:pPr>
    </w:p>
    <w:p w14:paraId="345B3C1F" w14:textId="77777777" w:rsidR="005519EA" w:rsidRPr="00B6584D" w:rsidRDefault="005519EA" w:rsidP="005519EA">
      <w:pPr>
        <w:rPr>
          <w:lang w:val="nl-NL"/>
        </w:rPr>
      </w:pPr>
      <w:r w:rsidRPr="00B6584D">
        <w:rPr>
          <w:lang w:val="nl-NL"/>
        </w:rPr>
        <w:t xml:space="preserve">Indien de situatie </w:t>
      </w:r>
      <w:r>
        <w:rPr>
          <w:lang w:val="nl-NL"/>
        </w:rPr>
        <w:t>ertoe aanleiding geeft, zal de raad van t</w:t>
      </w:r>
      <w:r w:rsidRPr="00B6584D">
        <w:rPr>
          <w:lang w:val="nl-NL"/>
        </w:rPr>
        <w:t>oezicht worden geïnformeerd.</w:t>
      </w:r>
    </w:p>
    <w:p w14:paraId="2B1E3F57" w14:textId="77777777" w:rsidR="005519EA" w:rsidRDefault="005519EA" w:rsidP="00697A7C">
      <w:pPr>
        <w:rPr>
          <w:lang w:val="nl-NL"/>
        </w:rPr>
      </w:pPr>
    </w:p>
    <w:p w14:paraId="14D61EF2" w14:textId="77777777" w:rsidR="00697A7C" w:rsidRPr="00697A7C" w:rsidRDefault="00697A7C" w:rsidP="00697A7C">
      <w:pPr>
        <w:rPr>
          <w:lang w:val="nl-NL"/>
        </w:rPr>
      </w:pPr>
      <w:r w:rsidRPr="00697A7C">
        <w:rPr>
          <w:lang w:val="nl-NL"/>
        </w:rPr>
        <w:t>Indien het comité of minimaal 2 van de leden van het crisiscomité hiertoe besluiten kan de noodprocedure als volgt in gang wordt gezet.</w:t>
      </w:r>
    </w:p>
    <w:p w14:paraId="756DD49F" w14:textId="77777777" w:rsidR="00697A7C" w:rsidRPr="00697A7C" w:rsidRDefault="00697A7C" w:rsidP="00697A7C">
      <w:pPr>
        <w:rPr>
          <w:lang w:val="nl-NL"/>
        </w:rPr>
      </w:pPr>
    </w:p>
    <w:p w14:paraId="60F7CF41" w14:textId="77777777" w:rsidR="00E478C3" w:rsidRDefault="00E478C3" w:rsidP="00697A7C">
      <w:pPr>
        <w:rPr>
          <w:lang w:val="nl-NL"/>
        </w:rPr>
      </w:pPr>
    </w:p>
    <w:p w14:paraId="1DD6E6B4" w14:textId="77777777" w:rsidR="00697A7C" w:rsidRPr="00697A7C" w:rsidRDefault="00697A7C" w:rsidP="00697A7C">
      <w:pPr>
        <w:rPr>
          <w:lang w:val="nl-NL"/>
        </w:rPr>
      </w:pPr>
      <w:r w:rsidRPr="00697A7C">
        <w:rPr>
          <w:lang w:val="nl-NL"/>
        </w:rPr>
        <w:t xml:space="preserve">Om een besluit te kunnen nemen is het in principe noodzakelijk dat er voldoende quorum is. De voorkeur is dat bestuurders zelf aanwezig zijn, maar het is ook mogelijk om telefonisch (via een conference call) deel te nemen aan de vergadering. In de aanloop naar de vergadering zal voor zover nodig intensief afgestemd worden tussen de leden van het crisiscomité, waarbij (indien gewenst) andere specialisten geraadpleegd kunnen worden. </w:t>
      </w:r>
    </w:p>
    <w:p w14:paraId="585D450E" w14:textId="77777777" w:rsidR="00697A7C" w:rsidRPr="00697A7C" w:rsidRDefault="00697A7C" w:rsidP="00697A7C">
      <w:pPr>
        <w:rPr>
          <w:lang w:val="nl-NL"/>
        </w:rPr>
      </w:pPr>
    </w:p>
    <w:p w14:paraId="0D2F16BC" w14:textId="77777777" w:rsidR="00697A7C" w:rsidRDefault="00697A7C" w:rsidP="00697A7C">
      <w:pPr>
        <w:rPr>
          <w:lang w:val="nl-NL"/>
        </w:rPr>
      </w:pPr>
      <w:r w:rsidRPr="00697A7C">
        <w:rPr>
          <w:lang w:val="nl-NL"/>
        </w:rPr>
        <w:t>Mocht het niet mogelijk zijn om op korte termijn voldoende bestuurders bijeen te krijgen dan k</w:t>
      </w:r>
      <w:r w:rsidR="00E478C3">
        <w:rPr>
          <w:lang w:val="nl-NL"/>
        </w:rPr>
        <w:t>an</w:t>
      </w:r>
      <w:r w:rsidRPr="00697A7C">
        <w:rPr>
          <w:lang w:val="nl-NL"/>
        </w:rPr>
        <w:t xml:space="preserve"> de voorzitter tot een alternatieve procedure besluiten, waarbij altijd minimaal de voorzitter en 2 portefeuillehouders vermogensbeheer betrokken moeten zijn.</w:t>
      </w:r>
    </w:p>
    <w:p w14:paraId="6287EC4F" w14:textId="77777777" w:rsidR="003B4AE4" w:rsidRPr="00697A7C" w:rsidRDefault="003B4AE4" w:rsidP="00697A7C">
      <w:pPr>
        <w:rPr>
          <w:lang w:val="nl-NL"/>
        </w:rPr>
      </w:pPr>
    </w:p>
    <w:p w14:paraId="13816D84" w14:textId="06664A65" w:rsidR="00697A7C" w:rsidRPr="00697A7C" w:rsidRDefault="00697A7C" w:rsidP="00697A7C">
      <w:pPr>
        <w:rPr>
          <w:lang w:val="nl-NL"/>
        </w:rPr>
      </w:pPr>
      <w:r w:rsidRPr="00697A7C">
        <w:rPr>
          <w:lang w:val="nl-NL"/>
        </w:rPr>
        <w:t xml:space="preserve">Indien dit aantal niet haalbaar is zal een bespreking plaatsvinden waarbij minimaal de voorzitter dan aanwezig is aangevuld met minimaal één beleggingsspecialist van het bestuursbureau eventueel aangevuld met andere specialisten. De bespreking kan door bijeen te komen, een telefonische conferentie of een combinatie. De bespreking leidt tot een voorstel voor te nemen maatregelen, dat </w:t>
      </w:r>
      <w:r w:rsidR="004F5C27">
        <w:rPr>
          <w:lang w:val="nl-NL"/>
        </w:rPr>
        <w:t>elektronisch</w:t>
      </w:r>
      <w:r w:rsidRPr="00697A7C">
        <w:rPr>
          <w:lang w:val="nl-NL"/>
        </w:rPr>
        <w:t xml:space="preserve"> voor besluitvorming aan het bestuur wordt voorgelegd, waarbij bestuursleden ook telefonisch door het bestuursbureau op het betreffende verzoek tot besluitvorming geattendeerd zullen worden. Daarbij zal een reactietermijn van</w:t>
      </w:r>
      <w:r w:rsidR="00E478C3">
        <w:rPr>
          <w:lang w:val="nl-NL"/>
        </w:rPr>
        <w:t xml:space="preserve"> maximaal</w:t>
      </w:r>
      <w:r w:rsidRPr="00697A7C">
        <w:rPr>
          <w:lang w:val="nl-NL"/>
        </w:rPr>
        <w:t xml:space="preserve"> 24 uur worden gehanteerd, vanaf het tijdstip dat </w:t>
      </w:r>
      <w:r w:rsidR="004F5C27">
        <w:rPr>
          <w:lang w:val="nl-NL"/>
        </w:rPr>
        <w:t xml:space="preserve">het voorstel elektronisch </w:t>
      </w:r>
      <w:r w:rsidRPr="00697A7C">
        <w:rPr>
          <w:lang w:val="nl-NL"/>
        </w:rPr>
        <w:t>verzonden is.</w:t>
      </w:r>
    </w:p>
    <w:p w14:paraId="67531A1F" w14:textId="77777777" w:rsidR="003B4AE4" w:rsidRDefault="003B4AE4">
      <w:pPr>
        <w:spacing w:after="200" w:line="276" w:lineRule="auto"/>
        <w:rPr>
          <w:lang w:val="nl-NL"/>
        </w:rPr>
      </w:pPr>
      <w:r>
        <w:rPr>
          <w:lang w:val="nl-NL"/>
        </w:rPr>
        <w:br w:type="page"/>
      </w:r>
    </w:p>
    <w:p w14:paraId="7A1E07CD" w14:textId="77777777" w:rsidR="00697A7C" w:rsidRPr="003B4AE4" w:rsidRDefault="00697A7C" w:rsidP="001E699B">
      <w:pPr>
        <w:pStyle w:val="Lijstalinea"/>
        <w:numPr>
          <w:ilvl w:val="0"/>
          <w:numId w:val="26"/>
        </w:numPr>
        <w:ind w:left="357" w:hanging="357"/>
        <w:rPr>
          <w:i/>
          <w:lang w:val="nl-NL"/>
        </w:rPr>
      </w:pPr>
      <w:r w:rsidRPr="003B4AE4">
        <w:rPr>
          <w:i/>
          <w:lang w:val="nl-NL"/>
        </w:rPr>
        <w:lastRenderedPageBreak/>
        <w:t>Besluitvorming gericht op bedreigingen en kansen in risicosituaties</w:t>
      </w:r>
    </w:p>
    <w:p w14:paraId="6D1E3CEE" w14:textId="5525AF78" w:rsidR="00697A7C" w:rsidRPr="00697A7C" w:rsidRDefault="00697A7C" w:rsidP="00697A7C">
      <w:pPr>
        <w:rPr>
          <w:lang w:val="nl-NL"/>
        </w:rPr>
      </w:pPr>
      <w:r w:rsidRPr="00697A7C">
        <w:rPr>
          <w:lang w:val="nl-NL"/>
        </w:rPr>
        <w:t xml:space="preserve">Het bestuur beoordeelt de situatie en besluit welke maatregelen genomen moeten worden en welke vervolgstappen er gezet moeten worden. Na het besluit geeft het bestuur </w:t>
      </w:r>
      <w:r w:rsidR="004F5C27">
        <w:rPr>
          <w:lang w:val="nl-NL"/>
        </w:rPr>
        <w:t xml:space="preserve">het </w:t>
      </w:r>
      <w:r w:rsidRPr="00697A7C">
        <w:rPr>
          <w:lang w:val="nl-NL"/>
        </w:rPr>
        <w:t>bestuursbureau de opdracht om het besluit uit te voeren.</w:t>
      </w:r>
    </w:p>
    <w:p w14:paraId="3C14613C" w14:textId="77777777" w:rsidR="00697A7C" w:rsidRPr="00697A7C" w:rsidRDefault="00697A7C" w:rsidP="00697A7C">
      <w:pPr>
        <w:rPr>
          <w:lang w:val="nl-NL"/>
        </w:rPr>
      </w:pPr>
    </w:p>
    <w:p w14:paraId="74E30E7D" w14:textId="77777777" w:rsidR="00697A7C" w:rsidRPr="00697A7C" w:rsidRDefault="00697A7C" w:rsidP="00697A7C">
      <w:pPr>
        <w:rPr>
          <w:lang w:val="nl-NL"/>
        </w:rPr>
      </w:pPr>
      <w:r w:rsidRPr="00697A7C">
        <w:rPr>
          <w:lang w:val="nl-NL"/>
        </w:rPr>
        <w:t xml:space="preserve">De besluitvorming kan gericht zijn op een bepaalde mate van risicoreductie </w:t>
      </w:r>
      <w:r w:rsidR="00E478C3">
        <w:rPr>
          <w:lang w:val="nl-NL"/>
        </w:rPr>
        <w:t>in één of meerdere asset categorieën</w:t>
      </w:r>
      <w:r w:rsidR="0048142F">
        <w:rPr>
          <w:lang w:val="nl-NL"/>
        </w:rPr>
        <w:t xml:space="preserve"> </w:t>
      </w:r>
      <w:r w:rsidRPr="00697A7C">
        <w:rPr>
          <w:lang w:val="nl-NL"/>
        </w:rPr>
        <w:t>in het geval deze risico’s als structureel wordt beschouwd.</w:t>
      </w:r>
    </w:p>
    <w:p w14:paraId="45AFCD7E" w14:textId="77777777" w:rsidR="00697A7C" w:rsidRPr="00697A7C" w:rsidRDefault="00697A7C" w:rsidP="00697A7C">
      <w:pPr>
        <w:rPr>
          <w:lang w:val="nl-NL"/>
        </w:rPr>
      </w:pPr>
    </w:p>
    <w:p w14:paraId="046B2CD3" w14:textId="77777777" w:rsidR="00697A7C" w:rsidRPr="00697A7C" w:rsidRDefault="00697A7C" w:rsidP="00697A7C">
      <w:pPr>
        <w:rPr>
          <w:lang w:val="nl-NL"/>
        </w:rPr>
      </w:pPr>
      <w:r w:rsidRPr="00697A7C">
        <w:rPr>
          <w:lang w:val="nl-NL"/>
        </w:rPr>
        <w:t>De besluitvorming kan gericht zijn op het benutten van kansen als het risico als tijdelijk wordt beschouwd en de financiële positie daartoe ruimte biedt.</w:t>
      </w:r>
    </w:p>
    <w:p w14:paraId="1EA34A29" w14:textId="77777777" w:rsidR="00697A7C" w:rsidRPr="00697A7C" w:rsidRDefault="00697A7C" w:rsidP="00697A7C">
      <w:pPr>
        <w:rPr>
          <w:lang w:val="nl-NL"/>
        </w:rPr>
      </w:pPr>
    </w:p>
    <w:p w14:paraId="7960C083" w14:textId="77777777" w:rsidR="00697A7C" w:rsidRPr="00697A7C" w:rsidRDefault="00697A7C" w:rsidP="00697A7C">
      <w:pPr>
        <w:rPr>
          <w:lang w:val="nl-NL"/>
        </w:rPr>
      </w:pPr>
      <w:r w:rsidRPr="00697A7C">
        <w:rPr>
          <w:lang w:val="nl-NL"/>
        </w:rPr>
        <w:t>De aanleiding om het bestuur bijeen te roepen is een onverwachte situatie waarbij verwacht kan worden dat de gevolgen voor het fonds groot kunnen zijn. Te denken valt hierbij aan de volgende (niet limitatieve) situaties:</w:t>
      </w:r>
    </w:p>
    <w:p w14:paraId="0FC65595" w14:textId="77777777" w:rsidR="00697A7C" w:rsidRPr="003B4AE4" w:rsidRDefault="003B79B2" w:rsidP="001E699B">
      <w:pPr>
        <w:pStyle w:val="Lijstalinea"/>
        <w:numPr>
          <w:ilvl w:val="0"/>
          <w:numId w:val="28"/>
        </w:numPr>
        <w:rPr>
          <w:lang w:val="nl-NL"/>
        </w:rPr>
      </w:pPr>
      <w:r>
        <w:rPr>
          <w:lang w:val="nl-NL"/>
        </w:rPr>
        <w:t>O</w:t>
      </w:r>
      <w:r w:rsidR="00697A7C" w:rsidRPr="003B4AE4">
        <w:rPr>
          <w:lang w:val="nl-NL"/>
        </w:rPr>
        <w:t>nrust op financiële markten</w:t>
      </w:r>
      <w:r>
        <w:rPr>
          <w:lang w:val="nl-NL"/>
        </w:rPr>
        <w:t>.</w:t>
      </w:r>
    </w:p>
    <w:p w14:paraId="46CDEF7F" w14:textId="77777777" w:rsidR="00697A7C" w:rsidRPr="003B4AE4" w:rsidRDefault="003B79B2" w:rsidP="001E699B">
      <w:pPr>
        <w:pStyle w:val="Lijstalinea"/>
        <w:numPr>
          <w:ilvl w:val="0"/>
          <w:numId w:val="28"/>
        </w:numPr>
        <w:rPr>
          <w:lang w:val="nl-NL"/>
        </w:rPr>
      </w:pPr>
      <w:r>
        <w:rPr>
          <w:lang w:val="nl-NL"/>
        </w:rPr>
        <w:t>D</w:t>
      </w:r>
      <w:r w:rsidR="00697A7C" w:rsidRPr="003B4AE4">
        <w:rPr>
          <w:lang w:val="nl-NL"/>
        </w:rPr>
        <w:t>e volatiliteit (bijvoorbeeld de VIX) op de markten neemt sterk toe naar een meer dan bovengemiddeld niveau</w:t>
      </w:r>
      <w:r>
        <w:rPr>
          <w:lang w:val="nl-NL"/>
        </w:rPr>
        <w:t>.</w:t>
      </w:r>
    </w:p>
    <w:p w14:paraId="6569C815" w14:textId="77777777" w:rsidR="00697A7C" w:rsidRPr="003B4AE4" w:rsidRDefault="003B79B2" w:rsidP="001E699B">
      <w:pPr>
        <w:pStyle w:val="Lijstalinea"/>
        <w:numPr>
          <w:ilvl w:val="0"/>
          <w:numId w:val="28"/>
        </w:numPr>
        <w:rPr>
          <w:lang w:val="nl-NL"/>
        </w:rPr>
      </w:pPr>
      <w:r>
        <w:rPr>
          <w:lang w:val="nl-NL"/>
        </w:rPr>
        <w:t>D</w:t>
      </w:r>
      <w:r w:rsidR="00697A7C" w:rsidRPr="003B4AE4">
        <w:rPr>
          <w:lang w:val="nl-NL"/>
        </w:rPr>
        <w:t>e kapitaalmarktrente daalt of stijgt binnen week met meer dan 1%</w:t>
      </w:r>
      <w:r w:rsidR="00B50B62">
        <w:rPr>
          <w:lang w:val="nl-NL"/>
        </w:rPr>
        <w:t>-punt</w:t>
      </w:r>
      <w:r>
        <w:rPr>
          <w:lang w:val="nl-NL"/>
        </w:rPr>
        <w:t>.</w:t>
      </w:r>
    </w:p>
    <w:p w14:paraId="262DAB84" w14:textId="77777777" w:rsidR="00697A7C" w:rsidRPr="003B4AE4" w:rsidRDefault="00697A7C" w:rsidP="001E699B">
      <w:pPr>
        <w:pStyle w:val="Lijstalinea"/>
        <w:numPr>
          <w:ilvl w:val="0"/>
          <w:numId w:val="28"/>
        </w:numPr>
        <w:rPr>
          <w:lang w:val="nl-NL"/>
        </w:rPr>
      </w:pPr>
      <w:r w:rsidRPr="003B4AE4">
        <w:rPr>
          <w:lang w:val="nl-NL"/>
        </w:rPr>
        <w:t>(</w:t>
      </w:r>
      <w:r w:rsidR="003B79B2">
        <w:rPr>
          <w:lang w:val="nl-NL"/>
        </w:rPr>
        <w:t>M</w:t>
      </w:r>
      <w:r w:rsidRPr="003B4AE4">
        <w:rPr>
          <w:lang w:val="nl-NL"/>
        </w:rPr>
        <w:t>ogelijke) forse aanpassing van de kredietwaardigheid van één van de G12 landen</w:t>
      </w:r>
      <w:r w:rsidR="003B79B2">
        <w:rPr>
          <w:lang w:val="nl-NL"/>
        </w:rPr>
        <w:t>.</w:t>
      </w:r>
    </w:p>
    <w:p w14:paraId="4119B148" w14:textId="77777777" w:rsidR="00697A7C" w:rsidRPr="003B4AE4" w:rsidRDefault="003B79B2" w:rsidP="001E699B">
      <w:pPr>
        <w:pStyle w:val="Lijstalinea"/>
        <w:numPr>
          <w:ilvl w:val="0"/>
          <w:numId w:val="28"/>
        </w:numPr>
        <w:rPr>
          <w:lang w:val="nl-NL"/>
        </w:rPr>
      </w:pPr>
      <w:r>
        <w:rPr>
          <w:lang w:val="nl-NL"/>
        </w:rPr>
        <w:t>D</w:t>
      </w:r>
      <w:r w:rsidR="00697A7C" w:rsidRPr="003B4AE4">
        <w:rPr>
          <w:lang w:val="nl-NL"/>
        </w:rPr>
        <w:t>e aandelen stijgen of dalen binnen een week met meer dan 15%</w:t>
      </w:r>
      <w:r>
        <w:rPr>
          <w:lang w:val="nl-NL"/>
        </w:rPr>
        <w:t>.</w:t>
      </w:r>
    </w:p>
    <w:p w14:paraId="11B2F831" w14:textId="77777777" w:rsidR="00697A7C" w:rsidRPr="00697A7C" w:rsidRDefault="00697A7C" w:rsidP="00697A7C">
      <w:pPr>
        <w:rPr>
          <w:lang w:val="nl-NL"/>
        </w:rPr>
      </w:pPr>
    </w:p>
    <w:p w14:paraId="19E82BE5" w14:textId="77777777" w:rsidR="00697A7C" w:rsidRPr="00697A7C" w:rsidRDefault="00697A7C" w:rsidP="00697A7C">
      <w:pPr>
        <w:rPr>
          <w:lang w:val="nl-NL"/>
        </w:rPr>
      </w:pPr>
      <w:r w:rsidRPr="00697A7C">
        <w:rPr>
          <w:lang w:val="nl-NL"/>
        </w:rPr>
        <w:t>Ontwikkelingen die effect kunnen hebben op de financiële markten:</w:t>
      </w:r>
    </w:p>
    <w:p w14:paraId="7AE8BD97" w14:textId="77777777" w:rsidR="00697A7C" w:rsidRPr="003B4AE4" w:rsidRDefault="003B79B2" w:rsidP="001E699B">
      <w:pPr>
        <w:pStyle w:val="Lijstalinea"/>
        <w:numPr>
          <w:ilvl w:val="0"/>
          <w:numId w:val="29"/>
        </w:numPr>
        <w:rPr>
          <w:lang w:val="nl-NL"/>
        </w:rPr>
      </w:pPr>
      <w:r>
        <w:rPr>
          <w:lang w:val="nl-NL"/>
        </w:rPr>
        <w:t>E</w:t>
      </w:r>
      <w:r w:rsidR="00697A7C" w:rsidRPr="003B4AE4">
        <w:rPr>
          <w:lang w:val="nl-NL"/>
        </w:rPr>
        <w:t xml:space="preserve">en grote financiële instelling dreigt </w:t>
      </w:r>
      <w:r w:rsidR="00E478C3">
        <w:rPr>
          <w:lang w:val="nl-NL"/>
        </w:rPr>
        <w:t xml:space="preserve">om te vallen </w:t>
      </w:r>
      <w:r w:rsidR="00697A7C" w:rsidRPr="003B4AE4">
        <w:rPr>
          <w:lang w:val="nl-NL"/>
        </w:rPr>
        <w:t>of is omgevallen</w:t>
      </w:r>
      <w:r>
        <w:rPr>
          <w:lang w:val="nl-NL"/>
        </w:rPr>
        <w:t>.</w:t>
      </w:r>
    </w:p>
    <w:p w14:paraId="4DBE3C0C" w14:textId="77777777" w:rsidR="00697A7C" w:rsidRPr="003B4AE4" w:rsidRDefault="003B79B2" w:rsidP="001E699B">
      <w:pPr>
        <w:pStyle w:val="Lijstalinea"/>
        <w:numPr>
          <w:ilvl w:val="0"/>
          <w:numId w:val="29"/>
        </w:numPr>
        <w:rPr>
          <w:lang w:val="nl-NL"/>
        </w:rPr>
      </w:pPr>
      <w:r>
        <w:rPr>
          <w:lang w:val="nl-NL"/>
        </w:rPr>
        <w:t>T</w:t>
      </w:r>
      <w:r w:rsidR="00697A7C" w:rsidRPr="003B4AE4">
        <w:rPr>
          <w:lang w:val="nl-NL"/>
        </w:rPr>
        <w:t>erroristische aanslag(en)</w:t>
      </w:r>
      <w:r>
        <w:rPr>
          <w:lang w:val="nl-NL"/>
        </w:rPr>
        <w:t>.</w:t>
      </w:r>
    </w:p>
    <w:p w14:paraId="16126B4F" w14:textId="77777777" w:rsidR="00697A7C" w:rsidRPr="003B4AE4" w:rsidRDefault="003B79B2" w:rsidP="001E699B">
      <w:pPr>
        <w:pStyle w:val="Lijstalinea"/>
        <w:numPr>
          <w:ilvl w:val="0"/>
          <w:numId w:val="29"/>
        </w:numPr>
        <w:rPr>
          <w:lang w:val="nl-NL"/>
        </w:rPr>
      </w:pPr>
      <w:r>
        <w:rPr>
          <w:lang w:val="nl-NL"/>
        </w:rPr>
        <w:t>P</w:t>
      </w:r>
      <w:r w:rsidR="00697A7C" w:rsidRPr="003B4AE4">
        <w:rPr>
          <w:lang w:val="nl-NL"/>
        </w:rPr>
        <w:t>olitieke conflict(en)</w:t>
      </w:r>
      <w:r>
        <w:rPr>
          <w:lang w:val="nl-NL"/>
        </w:rPr>
        <w:t>.</w:t>
      </w:r>
    </w:p>
    <w:p w14:paraId="5BAB6C19" w14:textId="77777777" w:rsidR="00697A7C" w:rsidRPr="003B4AE4" w:rsidRDefault="003B79B2" w:rsidP="001E699B">
      <w:pPr>
        <w:pStyle w:val="Lijstalinea"/>
        <w:numPr>
          <w:ilvl w:val="0"/>
          <w:numId w:val="29"/>
        </w:numPr>
        <w:spacing w:after="0"/>
        <w:rPr>
          <w:lang w:val="nl-NL"/>
        </w:rPr>
      </w:pPr>
      <w:r>
        <w:rPr>
          <w:lang w:val="nl-NL"/>
        </w:rPr>
        <w:t>G</w:t>
      </w:r>
      <w:r w:rsidR="00697A7C" w:rsidRPr="003B4AE4">
        <w:rPr>
          <w:lang w:val="nl-NL"/>
        </w:rPr>
        <w:t>rote en dreigende geopolitieke spanningen</w:t>
      </w:r>
      <w:r>
        <w:rPr>
          <w:lang w:val="nl-NL"/>
        </w:rPr>
        <w:t>.</w:t>
      </w:r>
    </w:p>
    <w:p w14:paraId="5A5ECFF9" w14:textId="77777777" w:rsidR="00697A7C" w:rsidRPr="00697A7C" w:rsidRDefault="00697A7C" w:rsidP="00697A7C">
      <w:pPr>
        <w:rPr>
          <w:lang w:val="nl-NL"/>
        </w:rPr>
      </w:pPr>
    </w:p>
    <w:p w14:paraId="025D7BF2" w14:textId="77777777" w:rsidR="00697A7C" w:rsidRPr="003B4AE4" w:rsidRDefault="00697A7C" w:rsidP="001E699B">
      <w:pPr>
        <w:pStyle w:val="Lijstalinea"/>
        <w:numPr>
          <w:ilvl w:val="0"/>
          <w:numId w:val="26"/>
        </w:numPr>
        <w:ind w:left="357" w:hanging="357"/>
        <w:rPr>
          <w:i/>
          <w:lang w:val="nl-NL"/>
        </w:rPr>
      </w:pPr>
      <w:r w:rsidRPr="003B4AE4">
        <w:rPr>
          <w:i/>
          <w:lang w:val="nl-NL"/>
        </w:rPr>
        <w:t>Intensieve monitoring en rapportage</w:t>
      </w:r>
    </w:p>
    <w:p w14:paraId="5768A963" w14:textId="45428CCF" w:rsidR="00697A7C" w:rsidRPr="00697A7C" w:rsidRDefault="00697A7C" w:rsidP="00697A7C">
      <w:pPr>
        <w:rPr>
          <w:lang w:val="nl-NL"/>
        </w:rPr>
      </w:pPr>
      <w:r w:rsidRPr="00697A7C">
        <w:rPr>
          <w:lang w:val="nl-NL"/>
        </w:rPr>
        <w:t xml:space="preserve">In de periode na de besluitvorming worden de financiële markten zeer intensief gevolgd door de beleggingsspecialisten van het bestuursbureau en rapporteert </w:t>
      </w:r>
      <w:r w:rsidR="004F5C27">
        <w:rPr>
          <w:lang w:val="nl-NL"/>
        </w:rPr>
        <w:t xml:space="preserve">het </w:t>
      </w:r>
      <w:r w:rsidR="00F445B1">
        <w:rPr>
          <w:lang w:val="nl-NL"/>
        </w:rPr>
        <w:t>bestuursbureau</w:t>
      </w:r>
      <w:r w:rsidRPr="00697A7C">
        <w:rPr>
          <w:lang w:val="nl-NL"/>
        </w:rPr>
        <w:t xml:space="preserve"> over de situatie aan het bestuur.</w:t>
      </w:r>
    </w:p>
    <w:p w14:paraId="653716D4" w14:textId="77777777" w:rsidR="00697A7C" w:rsidRPr="00697A7C" w:rsidRDefault="00697A7C" w:rsidP="00697A7C">
      <w:pPr>
        <w:rPr>
          <w:lang w:val="nl-NL"/>
        </w:rPr>
      </w:pPr>
    </w:p>
    <w:p w14:paraId="0D73A806" w14:textId="77777777" w:rsidR="00697A7C" w:rsidRPr="003B4AE4" w:rsidRDefault="00697A7C" w:rsidP="001E699B">
      <w:pPr>
        <w:pStyle w:val="Lijstalinea"/>
        <w:numPr>
          <w:ilvl w:val="0"/>
          <w:numId w:val="26"/>
        </w:numPr>
        <w:ind w:left="357" w:hanging="357"/>
        <w:rPr>
          <w:i/>
          <w:lang w:val="nl-NL"/>
        </w:rPr>
      </w:pPr>
      <w:r w:rsidRPr="003B4AE4">
        <w:rPr>
          <w:i/>
          <w:lang w:val="nl-NL"/>
        </w:rPr>
        <w:t>Terugkeer naar normale situatie</w:t>
      </w:r>
    </w:p>
    <w:p w14:paraId="29019BF6" w14:textId="736F4368" w:rsidR="00863274" w:rsidRPr="00307CD6" w:rsidRDefault="00697A7C" w:rsidP="00697A7C">
      <w:pPr>
        <w:rPr>
          <w:lang w:val="nl-NL"/>
        </w:rPr>
      </w:pPr>
      <w:r w:rsidRPr="00697A7C">
        <w:rPr>
          <w:lang w:val="nl-NL"/>
        </w:rPr>
        <w:t xml:space="preserve">Zodra het marktrisico weer normale waarden aanneemt, zal </w:t>
      </w:r>
      <w:r w:rsidR="004F5C27">
        <w:rPr>
          <w:lang w:val="nl-NL"/>
        </w:rPr>
        <w:t xml:space="preserve">het </w:t>
      </w:r>
      <w:r w:rsidR="00F445B1">
        <w:rPr>
          <w:lang w:val="nl-NL"/>
        </w:rPr>
        <w:t>bestuursbureau</w:t>
      </w:r>
      <w:r w:rsidRPr="00697A7C">
        <w:rPr>
          <w:lang w:val="nl-NL"/>
        </w:rPr>
        <w:t xml:space="preserve"> na overleg met het crisiscomité, het bestuur adviseren, waarbij vergadercyclus, rapportage en monitoring weer volgens de normale frequentie en lijnen verlopen.</w:t>
      </w:r>
    </w:p>
    <w:p w14:paraId="3DC90588" w14:textId="77777777" w:rsidR="00863274" w:rsidRPr="00307CD6" w:rsidRDefault="00863274" w:rsidP="00CA1B5F">
      <w:pPr>
        <w:rPr>
          <w:lang w:val="nl-NL"/>
        </w:rPr>
      </w:pPr>
    </w:p>
    <w:p w14:paraId="63E61216" w14:textId="77777777" w:rsidR="00863274" w:rsidRPr="00307CD6" w:rsidRDefault="00863274" w:rsidP="00CA1B5F">
      <w:pPr>
        <w:rPr>
          <w:lang w:val="nl-NL"/>
        </w:rPr>
      </w:pPr>
    </w:p>
    <w:p w14:paraId="0C50D47A" w14:textId="77777777" w:rsidR="00795D82" w:rsidRPr="00307CD6" w:rsidRDefault="00795D82" w:rsidP="00451E81">
      <w:pPr>
        <w:rPr>
          <w:lang w:val="nl-NL"/>
        </w:rPr>
      </w:pPr>
    </w:p>
    <w:p w14:paraId="13F3F0D0" w14:textId="77777777" w:rsidR="00E40C4C" w:rsidRPr="00307CD6" w:rsidRDefault="00E40C4C" w:rsidP="00451E81">
      <w:pPr>
        <w:rPr>
          <w:lang w:val="nl-NL"/>
        </w:rPr>
      </w:pPr>
    </w:p>
    <w:p w14:paraId="106A20A6" w14:textId="77777777" w:rsidR="00E40C4C" w:rsidRPr="00307CD6" w:rsidRDefault="00E40C4C" w:rsidP="00451E81">
      <w:pPr>
        <w:rPr>
          <w:lang w:val="nl-NL"/>
        </w:rPr>
        <w:sectPr w:rsidR="00E40C4C" w:rsidRPr="00307CD6" w:rsidSect="00BE1489">
          <w:headerReference w:type="default" r:id="rId15"/>
          <w:footerReference w:type="default" r:id="rId16"/>
          <w:headerReference w:type="first" r:id="rId17"/>
          <w:footerReference w:type="first" r:id="rId18"/>
          <w:pgSz w:w="11907" w:h="16839" w:code="9"/>
          <w:pgMar w:top="839" w:right="1418" w:bottom="839" w:left="1418" w:header="2551" w:footer="840" w:gutter="0"/>
          <w:cols w:space="720"/>
          <w:formProt w:val="0"/>
          <w:titlePg/>
          <w:docGrid w:linePitch="360"/>
        </w:sectPr>
      </w:pPr>
    </w:p>
    <w:p w14:paraId="527345EA" w14:textId="77777777" w:rsidR="00E40C4C" w:rsidRPr="00307CD6" w:rsidRDefault="00E40C4C" w:rsidP="00451E81">
      <w:pPr>
        <w:rPr>
          <w:lang w:val="nl-NL"/>
        </w:rPr>
      </w:pPr>
    </w:p>
    <w:sectPr w:rsidR="00E40C4C" w:rsidRPr="00307CD6" w:rsidSect="00BE1489">
      <w:headerReference w:type="first" r:id="rId19"/>
      <w:pgSz w:w="11907" w:h="16839" w:code="9"/>
      <w:pgMar w:top="839" w:right="1418" w:bottom="839" w:left="1418" w:header="2551" w:footer="8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6B9DA" w14:textId="77777777" w:rsidR="00C46548" w:rsidRDefault="00C46548" w:rsidP="00044D4B">
      <w:pPr>
        <w:spacing w:line="240" w:lineRule="auto"/>
      </w:pPr>
      <w:r>
        <w:separator/>
      </w:r>
    </w:p>
  </w:endnote>
  <w:endnote w:type="continuationSeparator" w:id="0">
    <w:p w14:paraId="13BBB6BD" w14:textId="77777777" w:rsidR="00C46548" w:rsidRDefault="00C46548" w:rsidP="00044D4B">
      <w:pPr>
        <w:spacing w:line="240" w:lineRule="auto"/>
      </w:pPr>
      <w:r>
        <w:continuationSeparator/>
      </w:r>
    </w:p>
  </w:endnote>
  <w:endnote w:type="continuationNotice" w:id="1">
    <w:p w14:paraId="6CA5FB02" w14:textId="77777777" w:rsidR="00C46548" w:rsidRDefault="00C465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emlettertype regulier">
    <w:altName w:val="Cambria"/>
    <w:panose1 w:val="00000000000000000000"/>
    <w:charset w:val="00"/>
    <w:family w:val="roman"/>
    <w:notTrueType/>
    <w:pitch w:val="default"/>
  </w:font>
  <w:font w:name="Frutiger LT Pro 45 Light">
    <w:altName w:val="Arial"/>
    <w:panose1 w:val="00000000000000000000"/>
    <w:charset w:val="00"/>
    <w:family w:val="roman"/>
    <w:notTrueType/>
    <w:pitch w:val="default"/>
  </w:font>
  <w:font w:name="Frutiger Light">
    <w:panose1 w:val="020B0302020104020203"/>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Proxima Nova A Cond Light">
    <w:altName w:val="Tahoma"/>
    <w:charset w:val="00"/>
    <w:family w:val="auto"/>
    <w:pitch w:val="variable"/>
    <w:sig w:usb0="20000287" w:usb1="00000001" w:usb2="00000000" w:usb3="00000000" w:csb0="0000019F" w:csb1="00000000"/>
  </w:font>
  <w:font w:name="FrutigerLTStd">
    <w:altName w:val="Cambria"/>
    <w:charset w:val="00"/>
    <w:family w:val="roman"/>
    <w:pitch w:val="default"/>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5A9C" w14:textId="77777777" w:rsidR="007E58D5" w:rsidRDefault="007E58D5" w:rsidP="00E84734">
    <w:pPr>
      <w:pStyle w:val="Voettekst"/>
      <w:jc w:val="right"/>
    </w:pPr>
    <w:r>
      <w:fldChar w:fldCharType="begin"/>
    </w:r>
    <w:r>
      <w:instrText>PAGE   \* MERGEFORMAT</w:instrText>
    </w:r>
    <w:r>
      <w:fldChar w:fldCharType="separate"/>
    </w:r>
    <w:r w:rsidRPr="00BB389C">
      <w:rPr>
        <w:noProof/>
        <w:lang w:val="nl-NL"/>
      </w:rPr>
      <w:t>70</w:t>
    </w:r>
    <w:r>
      <w:fldChar w:fldCharType="end"/>
    </w:r>
    <w:r>
      <w:rPr>
        <w:noProof/>
        <w:lang w:val="en-GB" w:eastAsia="en-GB"/>
      </w:rPr>
      <w:drawing>
        <wp:anchor distT="0" distB="0" distL="114300" distR="114300" simplePos="0" relativeHeight="251658242" behindDoc="1" locked="1" layoutInCell="0" allowOverlap="1" wp14:anchorId="46BB9A44" wp14:editId="261A0ED4">
          <wp:simplePos x="0" y="0"/>
          <wp:positionH relativeFrom="page">
            <wp:posOffset>393700</wp:posOffset>
          </wp:positionH>
          <wp:positionV relativeFrom="page">
            <wp:posOffset>9860280</wp:posOffset>
          </wp:positionV>
          <wp:extent cx="2332800" cy="543600"/>
          <wp:effectExtent l="0" t="0" r="0" b="8890"/>
          <wp:wrapNone/>
          <wp:docPr id="14" name="Afbeeld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332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1A700" w14:textId="77777777" w:rsidR="007E58D5" w:rsidRDefault="007E58D5" w:rsidP="00CE4ACF">
    <w:pPr>
      <w:ind w:right="-170"/>
    </w:pPr>
    <w:r>
      <w:rPr>
        <w:noProof/>
        <w:lang w:val="en-GB" w:eastAsia="en-GB"/>
      </w:rPr>
      <w:drawing>
        <wp:anchor distT="0" distB="0" distL="114300" distR="114300" simplePos="0" relativeHeight="251658246" behindDoc="1" locked="1" layoutInCell="0" allowOverlap="1" wp14:anchorId="2BD29ADC" wp14:editId="498BC782">
          <wp:simplePos x="0" y="0"/>
          <wp:positionH relativeFrom="page">
            <wp:posOffset>392430</wp:posOffset>
          </wp:positionH>
          <wp:positionV relativeFrom="page">
            <wp:posOffset>9861550</wp:posOffset>
          </wp:positionV>
          <wp:extent cx="2332800" cy="543600"/>
          <wp:effectExtent l="0" t="0" r="0" b="8890"/>
          <wp:wrapNone/>
          <wp:docPr id="17" name="Afbeelding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332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01466" w14:textId="77777777" w:rsidR="00C46548" w:rsidRDefault="00C46548" w:rsidP="00044D4B">
      <w:pPr>
        <w:spacing w:line="240" w:lineRule="auto"/>
      </w:pPr>
      <w:r>
        <w:separator/>
      </w:r>
    </w:p>
  </w:footnote>
  <w:footnote w:type="continuationSeparator" w:id="0">
    <w:p w14:paraId="6278DBE9" w14:textId="77777777" w:rsidR="00C46548" w:rsidRDefault="00C46548" w:rsidP="00044D4B">
      <w:pPr>
        <w:spacing w:line="240" w:lineRule="auto"/>
      </w:pPr>
      <w:r>
        <w:continuationSeparator/>
      </w:r>
    </w:p>
  </w:footnote>
  <w:footnote w:type="continuationNotice" w:id="1">
    <w:p w14:paraId="0582E6ED" w14:textId="77777777" w:rsidR="00C46548" w:rsidRDefault="00C4654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5F2B" w14:textId="77777777" w:rsidR="007E58D5" w:rsidRDefault="007E58D5">
    <w:pPr>
      <w:pStyle w:val="Koptekst"/>
    </w:pPr>
    <w:r>
      <w:rPr>
        <w:noProof/>
        <w:lang w:val="en-GB" w:eastAsia="en-GB"/>
      </w:rPr>
      <mc:AlternateContent>
        <mc:Choice Requires="wps">
          <w:drawing>
            <wp:anchor distT="0" distB="0" distL="114300" distR="114300" simplePos="0" relativeHeight="251658241" behindDoc="0" locked="1" layoutInCell="0" allowOverlap="1" wp14:anchorId="633A1D9F" wp14:editId="478F534C">
              <wp:simplePos x="0" y="0"/>
              <wp:positionH relativeFrom="page">
                <wp:posOffset>904240</wp:posOffset>
              </wp:positionH>
              <wp:positionV relativeFrom="page">
                <wp:posOffset>495300</wp:posOffset>
              </wp:positionV>
              <wp:extent cx="3990975" cy="471170"/>
              <wp:effectExtent l="0" t="0" r="9525" b="5080"/>
              <wp:wrapNone/>
              <wp:docPr id="7" name="Tekstvak 7"/>
              <wp:cNvGraphicFramePr/>
              <a:graphic xmlns:a="http://schemas.openxmlformats.org/drawingml/2006/main">
                <a:graphicData uri="http://schemas.microsoft.com/office/word/2010/wordprocessingShape">
                  <wps:wsp>
                    <wps:cNvSpPr txBox="1"/>
                    <wps:spPr>
                      <a:xfrm>
                        <a:off x="0" y="0"/>
                        <a:ext cx="3990975" cy="471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79108D" w14:textId="77777777" w:rsidR="007E58D5" w:rsidRPr="00567C65" w:rsidRDefault="007E58D5" w:rsidP="00786E3E">
                          <w:pPr>
                            <w:rPr>
                              <w:sz w:val="56"/>
                              <w:szCs w:val="56"/>
                            </w:rPr>
                          </w:pPr>
                          <w:r>
                            <w:rPr>
                              <w:sz w:val="56"/>
                              <w:szCs w:val="56"/>
                            </w:rPr>
                            <w:t>Beleidsstuk</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3A1D9F" id="_x0000_t202" coordsize="21600,21600" o:spt="202" path="m,l,21600r21600,l21600,xe">
              <v:stroke joinstyle="miter"/>
              <v:path gradientshapeok="t" o:connecttype="rect"/>
            </v:shapetype>
            <v:shape id="Tekstvak 7" o:spid="_x0000_s1026" type="#_x0000_t202" style="position:absolute;margin-left:71.2pt;margin-top:39pt;width:314.25pt;height:37.1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" o:allowincell="f" filled="f" stroked="f" strokeweight=".5pt">
              <v:textbox inset="0,0,0,0">
                <w:txbxContent>
                  <w:p w14:paraId="1979108D" w14:textId="77777777" w:rsidR="007E58D5" w:rsidRPr="00567C65" w:rsidRDefault="007E58D5" w:rsidP="00786E3E">
                    <w:pPr>
                      <w:rPr>
                        <w:sz w:val="56"/>
                        <w:szCs w:val="56"/>
                      </w:rPr>
                    </w:pPr>
                    <w:proofErr w:type="spellStart"/>
                    <w:r>
                      <w:rPr>
                        <w:sz w:val="56"/>
                        <w:szCs w:val="56"/>
                      </w:rPr>
                      <w:t>Beleidsstuk</w:t>
                    </w:r>
                    <w:proofErr w:type="spellEnd"/>
                  </w:p>
                </w:txbxContent>
              </v:textbox>
              <w10:wrap anchorx="page" anchory="page"/>
              <w10:anchorlock/>
            </v:shape>
          </w:pict>
        </mc:Fallback>
      </mc:AlternateContent>
    </w:r>
    <w:r>
      <w:rPr>
        <w:noProof/>
        <w:lang w:val="en-GB" w:eastAsia="en-GB"/>
      </w:rPr>
      <w:drawing>
        <wp:anchor distT="0" distB="0" distL="114300" distR="114300" simplePos="0" relativeHeight="251658240" behindDoc="1" locked="1" layoutInCell="0" allowOverlap="1" wp14:anchorId="607B7215" wp14:editId="7AD489E9">
          <wp:simplePos x="0" y="0"/>
          <wp:positionH relativeFrom="column">
            <wp:posOffset>3975100</wp:posOffset>
          </wp:positionH>
          <wp:positionV relativeFrom="page">
            <wp:posOffset>511175</wp:posOffset>
          </wp:positionV>
          <wp:extent cx="1792605" cy="399415"/>
          <wp:effectExtent l="0" t="0" r="0" b="635"/>
          <wp:wrapNone/>
          <wp:docPr id="1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92605" cy="3994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3B94B" w14:textId="77777777" w:rsidR="007E58D5" w:rsidRDefault="007E58D5">
    <w:pPr>
      <w:pStyle w:val="Koptekst"/>
    </w:pPr>
    <w:r>
      <w:rPr>
        <w:b/>
        <w:noProof/>
        <w:sz w:val="24"/>
        <w:szCs w:val="24"/>
        <w:lang w:val="en-GB" w:eastAsia="en-GB"/>
      </w:rPr>
      <mc:AlternateContent>
        <mc:Choice Requires="wpg">
          <w:drawing>
            <wp:anchor distT="0" distB="0" distL="114300" distR="114300" simplePos="0" relativeHeight="251658244" behindDoc="0" locked="1" layoutInCell="0" allowOverlap="1" wp14:anchorId="50B7929D" wp14:editId="2D806255">
              <wp:simplePos x="0" y="0"/>
              <wp:positionH relativeFrom="page">
                <wp:posOffset>366395</wp:posOffset>
              </wp:positionH>
              <wp:positionV relativeFrom="page">
                <wp:posOffset>1556385</wp:posOffset>
              </wp:positionV>
              <wp:extent cx="6306820" cy="1997710"/>
              <wp:effectExtent l="0" t="0" r="0" b="2540"/>
              <wp:wrapNone/>
              <wp:docPr id="36" name="Groep 36"/>
              <wp:cNvGraphicFramePr/>
              <a:graphic xmlns:a="http://schemas.openxmlformats.org/drawingml/2006/main">
                <a:graphicData uri="http://schemas.microsoft.com/office/word/2010/wordprocessingGroup">
                  <wpg:wgp>
                    <wpg:cNvGrpSpPr/>
                    <wpg:grpSpPr>
                      <a:xfrm>
                        <a:off x="0" y="0"/>
                        <a:ext cx="6306820" cy="1997710"/>
                        <a:chOff x="0" y="0"/>
                        <a:chExt cx="6305660" cy="1998802"/>
                      </a:xfrm>
                    </wpg:grpSpPr>
                    <wps:wsp>
                      <wps:cNvPr id="37" name="Rechthoek 37"/>
                      <wps:cNvSpPr/>
                      <wps:spPr>
                        <a:xfrm>
                          <a:off x="195565" y="1643806"/>
                          <a:ext cx="6099524" cy="354996"/>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0675DB" w14:textId="77777777" w:rsidR="007E58D5" w:rsidRPr="00E53068" w:rsidRDefault="007E58D5" w:rsidP="004845C3">
                            <w:pPr>
                              <w:rPr>
                                <w:b/>
                                <w:color w:val="000000" w:themeColor="text1"/>
                                <w:sz w:val="24"/>
                                <w:szCs w:val="24"/>
                              </w:rPr>
                            </w:pPr>
                          </w:p>
                        </w:txbxContent>
                      </wps:txbx>
                      <wps:bodyPr rot="0" spcFirstLastPara="0" vertOverflow="overflow" horzOverflow="overflow" vert="horz" wrap="square" lIns="91440" tIns="64800" rIns="91440" bIns="45720" numCol="1" spcCol="0" rtlCol="0" fromWordArt="0" anchor="ctr" anchorCtr="0" forceAA="0" compatLnSpc="1">
                        <a:prstTxWarp prst="textNoShape">
                          <a:avLst/>
                        </a:prstTxWarp>
                        <a:noAutofit/>
                      </wps:bodyPr>
                    </wps:wsp>
                    <wps:wsp>
                      <wps:cNvPr id="38" name="Gelijkbenige driehoek 38"/>
                      <wps:cNvSpPr/>
                      <wps:spPr>
                        <a:xfrm flipV="1">
                          <a:off x="0" y="1643806"/>
                          <a:ext cx="406180" cy="354990"/>
                        </a:xfrm>
                        <a:prstGeom prst="triangl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hthoekige driehoek 39"/>
                      <wps:cNvSpPr/>
                      <wps:spPr>
                        <a:xfrm flipH="1">
                          <a:off x="0" y="909114"/>
                          <a:ext cx="406180" cy="735038"/>
                        </a:xfrm>
                        <a:prstGeom prst="rtTriangle">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Tekstvak 40"/>
                      <wps:cNvSpPr txBox="1"/>
                      <wps:spPr>
                        <a:xfrm>
                          <a:off x="406987" y="0"/>
                          <a:ext cx="5898673" cy="6924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02F8F" w14:textId="77777777" w:rsidR="007E58D5" w:rsidRDefault="007E58D5" w:rsidP="004845C3">
                            <w:pPr>
                              <w:rPr>
                                <w:b/>
                                <w:sz w:val="88"/>
                                <w:szCs w:val="8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Tekstvak 41"/>
                      <wps:cNvSpPr txBox="1"/>
                      <wps:spPr>
                        <a:xfrm>
                          <a:off x="406987" y="729406"/>
                          <a:ext cx="5888102" cy="6924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27A2A9" w14:textId="77777777" w:rsidR="007E58D5" w:rsidRPr="003F153C" w:rsidRDefault="007E58D5" w:rsidP="004845C3">
                            <w:pPr>
                              <w:rPr>
                                <w:sz w:val="88"/>
                                <w:szCs w:val="88"/>
                              </w:rPr>
                            </w:pPr>
                            <w:r w:rsidRPr="003F153C">
                              <w:rPr>
                                <w:sz w:val="88"/>
                                <w:szCs w:val="88"/>
                              </w:rPr>
                              <w:t>B</w:t>
                            </w:r>
                            <w:r>
                              <w:rPr>
                                <w:sz w:val="88"/>
                                <w:szCs w:val="88"/>
                              </w:rPr>
                              <w:t>eleidsstuk</w:t>
                            </w:r>
                          </w:p>
                          <w:p w14:paraId="7A98111F" w14:textId="77777777" w:rsidR="007E58D5" w:rsidRDefault="007E58D5" w:rsidP="004845C3">
                            <w:pPr>
                              <w:rPr>
                                <w:b/>
                                <w:sz w:val="88"/>
                                <w:szCs w:val="8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B7929D" id="Groep 36" o:spid="_x0000_s1027" style="position:absolute;margin-left:28.85pt;margin-top:122.55pt;width:496.6pt;height:157.3pt;z-index:251658244;mso-position-horizontal-relative:page;mso-position-vertical-relative:page;mso-width-relative:margin;mso-height-relative:margin" coordsize="63056,19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" o:allowincell="f">
              <v:rect id="Rechthoek 37" o:spid="_x0000_s1028" style="position:absolute;left:1955;top:16438;width:60995;height: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" fillcolor="#87eaff [1300]" stroked="f" strokeweight="2pt">
                <v:textbox inset=",1.8mm">
                  <w:txbxContent>
                    <w:p w14:paraId="4D0675DB" w14:textId="77777777" w:rsidR="007E58D5" w:rsidRPr="00E53068" w:rsidRDefault="007E58D5" w:rsidP="004845C3">
                      <w:pPr>
                        <w:rPr>
                          <w:b/>
                          <w:color w:val="000000" w:themeColor="text1"/>
                          <w:sz w:val="24"/>
                          <w:szCs w:val="24"/>
                        </w:rPr>
                      </w:pP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elijkbenige driehoek 38" o:spid="_x0000_s1029" type="#_x0000_t5" style="position:absolute;top:16438;width:4061;height:354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" fillcolor="#00afd2 [3204]" stroked="f" strokeweight="2pt"/>
              <v:shapetype id="_x0000_t6" coordsize="21600,21600" o:spt="6" path="m,l,21600r21600,xe">
                <v:stroke joinstyle="miter"/>
                <v:path gradientshapeok="t" o:connecttype="custom" o:connectlocs="0,0;0,10800;0,21600;10800,21600;21600,21600;10800,10800" textboxrect="1800,12600,12600,19800"/>
              </v:shapetype>
              <v:shape id="Rechthoekige driehoek 39" o:spid="_x0000_s1030" type="#_x0000_t6" style="position:absolute;top:9091;width:4061;height:73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" fillcolor="#87eaff [1300]" stroked="f" strokeweight="2pt"/>
              <v:shapetype id="_x0000_t202" coordsize="21600,21600" o:spt="202" path="m,l,21600r21600,l21600,xe">
                <v:stroke joinstyle="miter"/>
                <v:path gradientshapeok="t" o:connecttype="rect"/>
              </v:shapetype>
              <v:shape id="Tekstvak 40" o:spid="_x0000_s1031" type="#_x0000_t202" style="position:absolute;left:4069;width:58987;height:6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WSwwAAANsAAAAPAAAAZHJzL2Rvd25yZXYueG1sRE/LasJA&#10;FN0X/IfhFrqrk0oV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x6Q1ksMAAADbAAAADwAA&#10;AAAAAAAAAAAAAAAHAgAAZHJzL2Rvd25yZXYueG1sUEsFBgAAAAADAAMAtwAAAPcCAAAAAA==&#10;" filled="f" stroked="f" strokeweight=".5pt">
                <v:textbox>
                  <w:txbxContent>
                    <w:p w14:paraId="49602F8F" w14:textId="77777777" w:rsidR="007E58D5" w:rsidRDefault="007E58D5" w:rsidP="004845C3">
                      <w:pPr>
                        <w:rPr>
                          <w:b/>
                          <w:sz w:val="88"/>
                          <w:szCs w:val="88"/>
                        </w:rPr>
                      </w:pPr>
                    </w:p>
                  </w:txbxContent>
                </v:textbox>
              </v:shape>
              <v:shape id="Tekstvak 41" o:spid="_x0000_s1032" type="#_x0000_t202" style="position:absolute;left:4069;top:7294;width:58881;height:6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3B27A2A9" w14:textId="77777777" w:rsidR="007E58D5" w:rsidRPr="003F153C" w:rsidRDefault="007E58D5" w:rsidP="004845C3">
                      <w:pPr>
                        <w:rPr>
                          <w:sz w:val="88"/>
                          <w:szCs w:val="88"/>
                        </w:rPr>
                      </w:pPr>
                      <w:proofErr w:type="spellStart"/>
                      <w:r w:rsidRPr="003F153C">
                        <w:rPr>
                          <w:sz w:val="88"/>
                          <w:szCs w:val="88"/>
                        </w:rPr>
                        <w:t>B</w:t>
                      </w:r>
                      <w:r>
                        <w:rPr>
                          <w:sz w:val="88"/>
                          <w:szCs w:val="88"/>
                        </w:rPr>
                        <w:t>eleidsstuk</w:t>
                      </w:r>
                      <w:proofErr w:type="spellEnd"/>
                    </w:p>
                    <w:p w14:paraId="7A98111F" w14:textId="77777777" w:rsidR="007E58D5" w:rsidRDefault="007E58D5" w:rsidP="004845C3">
                      <w:pPr>
                        <w:rPr>
                          <w:b/>
                          <w:sz w:val="88"/>
                          <w:szCs w:val="88"/>
                        </w:rPr>
                      </w:pPr>
                    </w:p>
                  </w:txbxContent>
                </v:textbox>
              </v:shape>
              <w10:wrap anchorx="page" anchory="page"/>
              <w10:anchorlock/>
            </v:group>
          </w:pict>
        </mc:Fallback>
      </mc:AlternateContent>
    </w:r>
    <w:r>
      <w:rPr>
        <w:noProof/>
        <w:lang w:val="en-GB" w:eastAsia="en-GB"/>
      </w:rPr>
      <w:drawing>
        <wp:anchor distT="0" distB="0" distL="114300" distR="114300" simplePos="0" relativeHeight="251658243" behindDoc="1" locked="1" layoutInCell="0" allowOverlap="1" wp14:anchorId="314933CB" wp14:editId="6054AF36">
          <wp:simplePos x="0" y="0"/>
          <wp:positionH relativeFrom="column">
            <wp:posOffset>3975100</wp:posOffset>
          </wp:positionH>
          <wp:positionV relativeFrom="page">
            <wp:posOffset>511175</wp:posOffset>
          </wp:positionV>
          <wp:extent cx="1792605" cy="399415"/>
          <wp:effectExtent l="0" t="0" r="0" b="635"/>
          <wp:wrapNone/>
          <wp:docPr id="16" name="Afbeeldin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92605" cy="3994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E908" w14:textId="77777777" w:rsidR="007E58D5" w:rsidRDefault="007E58D5">
    <w:pPr>
      <w:pStyle w:val="Koptekst"/>
    </w:pPr>
    <w:r>
      <w:rPr>
        <w:noProof/>
        <w:lang w:val="en-GB" w:eastAsia="en-GB"/>
      </w:rPr>
      <w:drawing>
        <wp:anchor distT="0" distB="0" distL="114300" distR="114300" simplePos="0" relativeHeight="251658245" behindDoc="0" locked="1" layoutInCell="0" allowOverlap="1" wp14:anchorId="12719B0C" wp14:editId="2B55E684">
          <wp:simplePos x="0" y="0"/>
          <wp:positionH relativeFrom="page">
            <wp:posOffset>842645</wp:posOffset>
          </wp:positionH>
          <wp:positionV relativeFrom="page">
            <wp:posOffset>514985</wp:posOffset>
          </wp:positionV>
          <wp:extent cx="2980800" cy="6480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9808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744"/>
    <w:multiLevelType w:val="hybridMultilevel"/>
    <w:tmpl w:val="9E52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40752"/>
    <w:multiLevelType w:val="hybridMultilevel"/>
    <w:tmpl w:val="159A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A450E"/>
    <w:multiLevelType w:val="hybridMultilevel"/>
    <w:tmpl w:val="EE98D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8748D"/>
    <w:multiLevelType w:val="hybridMultilevel"/>
    <w:tmpl w:val="2A30F20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0BBA186D"/>
    <w:multiLevelType w:val="hybridMultilevel"/>
    <w:tmpl w:val="7EFAA3B8"/>
    <w:lvl w:ilvl="0" w:tplc="72AC8A46">
      <w:start w:val="1"/>
      <w:numFmt w:val="bullet"/>
      <w:lvlText w:val="▼"/>
      <w:lvlJc w:val="left"/>
      <w:pPr>
        <w:tabs>
          <w:tab w:val="num" w:pos="720"/>
        </w:tabs>
        <w:ind w:left="720" w:hanging="360"/>
      </w:pPr>
      <w:rPr>
        <w:rFonts w:ascii="Systeemlettertype regulier" w:hAnsi="Systeemlettertype regulier" w:hint="default"/>
      </w:rPr>
    </w:lvl>
    <w:lvl w:ilvl="1" w:tplc="311C7E9E" w:tentative="1">
      <w:start w:val="1"/>
      <w:numFmt w:val="bullet"/>
      <w:lvlText w:val="▼"/>
      <w:lvlJc w:val="left"/>
      <w:pPr>
        <w:tabs>
          <w:tab w:val="num" w:pos="1440"/>
        </w:tabs>
        <w:ind w:left="1440" w:hanging="360"/>
      </w:pPr>
      <w:rPr>
        <w:rFonts w:ascii="Systeemlettertype regulier" w:hAnsi="Systeemlettertype regulier" w:hint="default"/>
      </w:rPr>
    </w:lvl>
    <w:lvl w:ilvl="2" w:tplc="0728DB66" w:tentative="1">
      <w:start w:val="1"/>
      <w:numFmt w:val="bullet"/>
      <w:lvlText w:val="▼"/>
      <w:lvlJc w:val="left"/>
      <w:pPr>
        <w:tabs>
          <w:tab w:val="num" w:pos="2160"/>
        </w:tabs>
        <w:ind w:left="2160" w:hanging="360"/>
      </w:pPr>
      <w:rPr>
        <w:rFonts w:ascii="Systeemlettertype regulier" w:hAnsi="Systeemlettertype regulier" w:hint="default"/>
      </w:rPr>
    </w:lvl>
    <w:lvl w:ilvl="3" w:tplc="51C45AE0" w:tentative="1">
      <w:start w:val="1"/>
      <w:numFmt w:val="bullet"/>
      <w:lvlText w:val="▼"/>
      <w:lvlJc w:val="left"/>
      <w:pPr>
        <w:tabs>
          <w:tab w:val="num" w:pos="2880"/>
        </w:tabs>
        <w:ind w:left="2880" w:hanging="360"/>
      </w:pPr>
      <w:rPr>
        <w:rFonts w:ascii="Systeemlettertype regulier" w:hAnsi="Systeemlettertype regulier" w:hint="default"/>
      </w:rPr>
    </w:lvl>
    <w:lvl w:ilvl="4" w:tplc="B1A0B60E" w:tentative="1">
      <w:start w:val="1"/>
      <w:numFmt w:val="bullet"/>
      <w:lvlText w:val="▼"/>
      <w:lvlJc w:val="left"/>
      <w:pPr>
        <w:tabs>
          <w:tab w:val="num" w:pos="3600"/>
        </w:tabs>
        <w:ind w:left="3600" w:hanging="360"/>
      </w:pPr>
      <w:rPr>
        <w:rFonts w:ascii="Systeemlettertype regulier" w:hAnsi="Systeemlettertype regulier" w:hint="default"/>
      </w:rPr>
    </w:lvl>
    <w:lvl w:ilvl="5" w:tplc="CBA056AC" w:tentative="1">
      <w:start w:val="1"/>
      <w:numFmt w:val="bullet"/>
      <w:lvlText w:val="▼"/>
      <w:lvlJc w:val="left"/>
      <w:pPr>
        <w:tabs>
          <w:tab w:val="num" w:pos="4320"/>
        </w:tabs>
        <w:ind w:left="4320" w:hanging="360"/>
      </w:pPr>
      <w:rPr>
        <w:rFonts w:ascii="Systeemlettertype regulier" w:hAnsi="Systeemlettertype regulier" w:hint="default"/>
      </w:rPr>
    </w:lvl>
    <w:lvl w:ilvl="6" w:tplc="7A36DB5E" w:tentative="1">
      <w:start w:val="1"/>
      <w:numFmt w:val="bullet"/>
      <w:lvlText w:val="▼"/>
      <w:lvlJc w:val="left"/>
      <w:pPr>
        <w:tabs>
          <w:tab w:val="num" w:pos="5040"/>
        </w:tabs>
        <w:ind w:left="5040" w:hanging="360"/>
      </w:pPr>
      <w:rPr>
        <w:rFonts w:ascii="Systeemlettertype regulier" w:hAnsi="Systeemlettertype regulier" w:hint="default"/>
      </w:rPr>
    </w:lvl>
    <w:lvl w:ilvl="7" w:tplc="1F8A4244" w:tentative="1">
      <w:start w:val="1"/>
      <w:numFmt w:val="bullet"/>
      <w:lvlText w:val="▼"/>
      <w:lvlJc w:val="left"/>
      <w:pPr>
        <w:tabs>
          <w:tab w:val="num" w:pos="5760"/>
        </w:tabs>
        <w:ind w:left="5760" w:hanging="360"/>
      </w:pPr>
      <w:rPr>
        <w:rFonts w:ascii="Systeemlettertype regulier" w:hAnsi="Systeemlettertype regulier" w:hint="default"/>
      </w:rPr>
    </w:lvl>
    <w:lvl w:ilvl="8" w:tplc="AA0AC61A" w:tentative="1">
      <w:start w:val="1"/>
      <w:numFmt w:val="bullet"/>
      <w:lvlText w:val="▼"/>
      <w:lvlJc w:val="left"/>
      <w:pPr>
        <w:tabs>
          <w:tab w:val="num" w:pos="6480"/>
        </w:tabs>
        <w:ind w:left="6480" w:hanging="360"/>
      </w:pPr>
      <w:rPr>
        <w:rFonts w:ascii="Systeemlettertype regulier" w:hAnsi="Systeemlettertype regulier" w:hint="default"/>
      </w:rPr>
    </w:lvl>
  </w:abstractNum>
  <w:abstractNum w:abstractNumId="5" w15:restartNumberingAfterBreak="0">
    <w:nsid w:val="0D3261E5"/>
    <w:multiLevelType w:val="hybridMultilevel"/>
    <w:tmpl w:val="52F25EBE"/>
    <w:lvl w:ilvl="0" w:tplc="4566B4FC">
      <w:start w:val="1"/>
      <w:numFmt w:val="bullet"/>
      <w:pStyle w:val="Lijstalinea"/>
      <w:lvlText w:val=""/>
      <w:lvlJc w:val="left"/>
      <w:pPr>
        <w:ind w:left="717" w:hanging="360"/>
      </w:pPr>
      <w:rPr>
        <w:rFonts w:ascii="Symbol" w:hAnsi="Symbol" w:hint="default"/>
      </w:rPr>
    </w:lvl>
    <w:lvl w:ilvl="1" w:tplc="0C7AECA6">
      <w:numFmt w:val="bullet"/>
      <w:lvlText w:val="•"/>
      <w:lvlJc w:val="left"/>
      <w:pPr>
        <w:ind w:left="1437" w:hanging="360"/>
      </w:pPr>
      <w:rPr>
        <w:rFonts w:ascii="Frutiger LT Pro 45 Light" w:eastAsiaTheme="minorHAnsi" w:hAnsi="Frutiger LT Pro 45 Light" w:cstheme="minorBidi"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6" w15:restartNumberingAfterBreak="0">
    <w:nsid w:val="10802D9D"/>
    <w:multiLevelType w:val="hybridMultilevel"/>
    <w:tmpl w:val="37EEF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C210BF"/>
    <w:multiLevelType w:val="hybridMultilevel"/>
    <w:tmpl w:val="22BA8EAE"/>
    <w:lvl w:ilvl="0" w:tplc="110695EE">
      <w:start w:val="4"/>
      <w:numFmt w:val="bullet"/>
      <w:lvlText w:val="-"/>
      <w:lvlJc w:val="left"/>
      <w:pPr>
        <w:ind w:left="1080" w:hanging="720"/>
      </w:pPr>
      <w:rPr>
        <w:rFonts w:ascii="Frutiger Light" w:eastAsia="Calibri" w:hAnsi="Frutiger Light" w:cs="Calibri" w:hint="default"/>
      </w:rPr>
    </w:lvl>
    <w:lvl w:ilvl="1" w:tplc="08090001">
      <w:start w:val="1"/>
      <w:numFmt w:val="bullet"/>
      <w:lvlText w:val=""/>
      <w:lvlJc w:val="left"/>
      <w:pPr>
        <w:ind w:left="1287" w:hanging="72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A2A78C1"/>
    <w:multiLevelType w:val="hybridMultilevel"/>
    <w:tmpl w:val="16AE7AC8"/>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961C6C"/>
    <w:multiLevelType w:val="hybridMultilevel"/>
    <w:tmpl w:val="3C04B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EF31F9"/>
    <w:multiLevelType w:val="hybridMultilevel"/>
    <w:tmpl w:val="D37A6A52"/>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462B27"/>
    <w:multiLevelType w:val="hybridMultilevel"/>
    <w:tmpl w:val="8618C726"/>
    <w:lvl w:ilvl="0" w:tplc="04130001">
      <w:start w:val="1"/>
      <w:numFmt w:val="bullet"/>
      <w:lvlText w:val=""/>
      <w:lvlJc w:val="left"/>
      <w:pPr>
        <w:ind w:left="869" w:hanging="360"/>
      </w:pPr>
      <w:rPr>
        <w:rFonts w:ascii="Symbol" w:hAnsi="Symbol" w:hint="default"/>
      </w:rPr>
    </w:lvl>
    <w:lvl w:ilvl="1" w:tplc="04130003" w:tentative="1">
      <w:start w:val="1"/>
      <w:numFmt w:val="bullet"/>
      <w:lvlText w:val="o"/>
      <w:lvlJc w:val="left"/>
      <w:pPr>
        <w:ind w:left="1589" w:hanging="360"/>
      </w:pPr>
      <w:rPr>
        <w:rFonts w:ascii="Courier New" w:hAnsi="Courier New" w:cs="Courier New" w:hint="default"/>
      </w:rPr>
    </w:lvl>
    <w:lvl w:ilvl="2" w:tplc="04130005" w:tentative="1">
      <w:start w:val="1"/>
      <w:numFmt w:val="bullet"/>
      <w:lvlText w:val=""/>
      <w:lvlJc w:val="left"/>
      <w:pPr>
        <w:ind w:left="2309" w:hanging="360"/>
      </w:pPr>
      <w:rPr>
        <w:rFonts w:ascii="Wingdings" w:hAnsi="Wingdings" w:hint="default"/>
      </w:rPr>
    </w:lvl>
    <w:lvl w:ilvl="3" w:tplc="04130001" w:tentative="1">
      <w:start w:val="1"/>
      <w:numFmt w:val="bullet"/>
      <w:lvlText w:val=""/>
      <w:lvlJc w:val="left"/>
      <w:pPr>
        <w:ind w:left="3029" w:hanging="360"/>
      </w:pPr>
      <w:rPr>
        <w:rFonts w:ascii="Symbol" w:hAnsi="Symbol" w:hint="default"/>
      </w:rPr>
    </w:lvl>
    <w:lvl w:ilvl="4" w:tplc="04130003" w:tentative="1">
      <w:start w:val="1"/>
      <w:numFmt w:val="bullet"/>
      <w:lvlText w:val="o"/>
      <w:lvlJc w:val="left"/>
      <w:pPr>
        <w:ind w:left="3749" w:hanging="360"/>
      </w:pPr>
      <w:rPr>
        <w:rFonts w:ascii="Courier New" w:hAnsi="Courier New" w:cs="Courier New" w:hint="default"/>
      </w:rPr>
    </w:lvl>
    <w:lvl w:ilvl="5" w:tplc="04130005" w:tentative="1">
      <w:start w:val="1"/>
      <w:numFmt w:val="bullet"/>
      <w:lvlText w:val=""/>
      <w:lvlJc w:val="left"/>
      <w:pPr>
        <w:ind w:left="4469" w:hanging="360"/>
      </w:pPr>
      <w:rPr>
        <w:rFonts w:ascii="Wingdings" w:hAnsi="Wingdings" w:hint="default"/>
      </w:rPr>
    </w:lvl>
    <w:lvl w:ilvl="6" w:tplc="04130001" w:tentative="1">
      <w:start w:val="1"/>
      <w:numFmt w:val="bullet"/>
      <w:lvlText w:val=""/>
      <w:lvlJc w:val="left"/>
      <w:pPr>
        <w:ind w:left="5189" w:hanging="360"/>
      </w:pPr>
      <w:rPr>
        <w:rFonts w:ascii="Symbol" w:hAnsi="Symbol" w:hint="default"/>
      </w:rPr>
    </w:lvl>
    <w:lvl w:ilvl="7" w:tplc="04130003" w:tentative="1">
      <w:start w:val="1"/>
      <w:numFmt w:val="bullet"/>
      <w:lvlText w:val="o"/>
      <w:lvlJc w:val="left"/>
      <w:pPr>
        <w:ind w:left="5909" w:hanging="360"/>
      </w:pPr>
      <w:rPr>
        <w:rFonts w:ascii="Courier New" w:hAnsi="Courier New" w:cs="Courier New" w:hint="default"/>
      </w:rPr>
    </w:lvl>
    <w:lvl w:ilvl="8" w:tplc="04130005" w:tentative="1">
      <w:start w:val="1"/>
      <w:numFmt w:val="bullet"/>
      <w:lvlText w:val=""/>
      <w:lvlJc w:val="left"/>
      <w:pPr>
        <w:ind w:left="6629" w:hanging="360"/>
      </w:pPr>
      <w:rPr>
        <w:rFonts w:ascii="Wingdings" w:hAnsi="Wingdings" w:hint="default"/>
      </w:rPr>
    </w:lvl>
  </w:abstractNum>
  <w:abstractNum w:abstractNumId="12" w15:restartNumberingAfterBreak="0">
    <w:nsid w:val="254D44CC"/>
    <w:multiLevelType w:val="hybridMultilevel"/>
    <w:tmpl w:val="1C427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BE1B51"/>
    <w:multiLevelType w:val="hybridMultilevel"/>
    <w:tmpl w:val="E7ECCC28"/>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522F80"/>
    <w:multiLevelType w:val="hybridMultilevel"/>
    <w:tmpl w:val="00B0B770"/>
    <w:lvl w:ilvl="0" w:tplc="2D0A3900">
      <w:numFmt w:val="bullet"/>
      <w:lvlText w:val="-"/>
      <w:lvlJc w:val="left"/>
      <w:pPr>
        <w:ind w:left="720" w:hanging="360"/>
      </w:pPr>
      <w:rPr>
        <w:rFonts w:ascii="Frutiger Light" w:eastAsiaTheme="minorHAnsi" w:hAnsi="Frutiger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534D65"/>
    <w:multiLevelType w:val="multilevel"/>
    <w:tmpl w:val="A4EED61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8322E17"/>
    <w:multiLevelType w:val="hybridMultilevel"/>
    <w:tmpl w:val="449EB004"/>
    <w:lvl w:ilvl="0" w:tplc="039CF952">
      <w:start w:val="14"/>
      <w:numFmt w:val="bullet"/>
      <w:lvlText w:val="-"/>
      <w:lvlJc w:val="left"/>
      <w:pPr>
        <w:ind w:left="720" w:hanging="360"/>
      </w:pPr>
      <w:rPr>
        <w:rFonts w:ascii="Frutiger LT Pro 45 Light" w:eastAsiaTheme="minorHAnsi" w:hAnsi="Frutiger LT Pro 45 Light"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A0F4A4E"/>
    <w:multiLevelType w:val="hybridMultilevel"/>
    <w:tmpl w:val="9D706E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0EC7FC2"/>
    <w:multiLevelType w:val="hybridMultilevel"/>
    <w:tmpl w:val="4244964C"/>
    <w:lvl w:ilvl="0" w:tplc="0413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FD1729"/>
    <w:multiLevelType w:val="hybridMultilevel"/>
    <w:tmpl w:val="F38E53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1B47810"/>
    <w:multiLevelType w:val="hybridMultilevel"/>
    <w:tmpl w:val="972E499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3AA34AF4"/>
    <w:multiLevelType w:val="hybridMultilevel"/>
    <w:tmpl w:val="71C4E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643AF6"/>
    <w:multiLevelType w:val="multilevel"/>
    <w:tmpl w:val="3FA05CC4"/>
    <w:lvl w:ilvl="0">
      <w:start w:val="1"/>
      <w:numFmt w:val="decimal"/>
      <w:pStyle w:val="Kop1"/>
      <w:lvlText w:val="%1"/>
      <w:lvlJc w:val="left"/>
      <w:pPr>
        <w:ind w:left="432" w:hanging="432"/>
      </w:pPr>
    </w:lvl>
    <w:lvl w:ilvl="1">
      <w:start w:val="1"/>
      <w:numFmt w:val="decimal"/>
      <w:pStyle w:val="Kop2"/>
      <w:lvlText w:val="%1.%2"/>
      <w:lvlJc w:val="left"/>
      <w:pPr>
        <w:ind w:left="1001"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3" w15:restartNumberingAfterBreak="0">
    <w:nsid w:val="420036D6"/>
    <w:multiLevelType w:val="hybridMultilevel"/>
    <w:tmpl w:val="F4DE7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9367C1"/>
    <w:multiLevelType w:val="hybridMultilevel"/>
    <w:tmpl w:val="2788D5AA"/>
    <w:lvl w:ilvl="0" w:tplc="7438E3D0">
      <w:start w:val="1"/>
      <w:numFmt w:val="decimal"/>
      <w:lvlText w:val="%1."/>
      <w:lvlJc w:val="left"/>
      <w:pPr>
        <w:ind w:left="1020" w:hanging="360"/>
      </w:pPr>
    </w:lvl>
    <w:lvl w:ilvl="1" w:tplc="470AB5FE">
      <w:start w:val="1"/>
      <w:numFmt w:val="decimal"/>
      <w:lvlText w:val="%2."/>
      <w:lvlJc w:val="left"/>
      <w:pPr>
        <w:ind w:left="1020" w:hanging="360"/>
      </w:pPr>
    </w:lvl>
    <w:lvl w:ilvl="2" w:tplc="61C8B618">
      <w:start w:val="1"/>
      <w:numFmt w:val="decimal"/>
      <w:lvlText w:val="%3."/>
      <w:lvlJc w:val="left"/>
      <w:pPr>
        <w:ind w:left="1020" w:hanging="360"/>
      </w:pPr>
    </w:lvl>
    <w:lvl w:ilvl="3" w:tplc="2DDCB18A">
      <w:start w:val="1"/>
      <w:numFmt w:val="decimal"/>
      <w:lvlText w:val="%4."/>
      <w:lvlJc w:val="left"/>
      <w:pPr>
        <w:ind w:left="1020" w:hanging="360"/>
      </w:pPr>
    </w:lvl>
    <w:lvl w:ilvl="4" w:tplc="AD8A061E">
      <w:start w:val="1"/>
      <w:numFmt w:val="decimal"/>
      <w:lvlText w:val="%5."/>
      <w:lvlJc w:val="left"/>
      <w:pPr>
        <w:ind w:left="1020" w:hanging="360"/>
      </w:pPr>
    </w:lvl>
    <w:lvl w:ilvl="5" w:tplc="F900FC3A">
      <w:start w:val="1"/>
      <w:numFmt w:val="decimal"/>
      <w:lvlText w:val="%6."/>
      <w:lvlJc w:val="left"/>
      <w:pPr>
        <w:ind w:left="1020" w:hanging="360"/>
      </w:pPr>
    </w:lvl>
    <w:lvl w:ilvl="6" w:tplc="FA30A73E">
      <w:start w:val="1"/>
      <w:numFmt w:val="decimal"/>
      <w:lvlText w:val="%7."/>
      <w:lvlJc w:val="left"/>
      <w:pPr>
        <w:ind w:left="1020" w:hanging="360"/>
      </w:pPr>
    </w:lvl>
    <w:lvl w:ilvl="7" w:tplc="8B12CA94">
      <w:start w:val="1"/>
      <w:numFmt w:val="decimal"/>
      <w:lvlText w:val="%8."/>
      <w:lvlJc w:val="left"/>
      <w:pPr>
        <w:ind w:left="1020" w:hanging="360"/>
      </w:pPr>
    </w:lvl>
    <w:lvl w:ilvl="8" w:tplc="44A03B0A">
      <w:start w:val="1"/>
      <w:numFmt w:val="decimal"/>
      <w:lvlText w:val="%9."/>
      <w:lvlJc w:val="left"/>
      <w:pPr>
        <w:ind w:left="1020" w:hanging="360"/>
      </w:pPr>
    </w:lvl>
  </w:abstractNum>
  <w:abstractNum w:abstractNumId="25" w15:restartNumberingAfterBreak="0">
    <w:nsid w:val="4BDF5EAF"/>
    <w:multiLevelType w:val="hybridMultilevel"/>
    <w:tmpl w:val="62CA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000490"/>
    <w:multiLevelType w:val="hybridMultilevel"/>
    <w:tmpl w:val="83307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6E709A"/>
    <w:multiLevelType w:val="hybridMultilevel"/>
    <w:tmpl w:val="41FA854A"/>
    <w:lvl w:ilvl="0" w:tplc="2D0A3900">
      <w:numFmt w:val="bullet"/>
      <w:lvlText w:val="-"/>
      <w:lvlJc w:val="left"/>
      <w:pPr>
        <w:ind w:left="720" w:hanging="360"/>
      </w:pPr>
      <w:rPr>
        <w:rFonts w:ascii="Frutiger Light" w:eastAsiaTheme="minorHAnsi" w:hAnsi="Frutiger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5C6077"/>
    <w:multiLevelType w:val="hybridMultilevel"/>
    <w:tmpl w:val="E17CF0CE"/>
    <w:lvl w:ilvl="0" w:tplc="AD74C3FE">
      <w:start w:val="1"/>
      <w:numFmt w:val="bullet"/>
      <w:lvlText w:val="▼"/>
      <w:lvlJc w:val="left"/>
      <w:pPr>
        <w:tabs>
          <w:tab w:val="num" w:pos="720"/>
        </w:tabs>
        <w:ind w:left="720" w:hanging="360"/>
      </w:pPr>
      <w:rPr>
        <w:rFonts w:ascii="Systeemlettertype regulier" w:hAnsi="Systeemlettertype regulier" w:hint="default"/>
      </w:rPr>
    </w:lvl>
    <w:lvl w:ilvl="1" w:tplc="748A6132" w:tentative="1">
      <w:start w:val="1"/>
      <w:numFmt w:val="bullet"/>
      <w:lvlText w:val="▼"/>
      <w:lvlJc w:val="left"/>
      <w:pPr>
        <w:tabs>
          <w:tab w:val="num" w:pos="1440"/>
        </w:tabs>
        <w:ind w:left="1440" w:hanging="360"/>
      </w:pPr>
      <w:rPr>
        <w:rFonts w:ascii="Systeemlettertype regulier" w:hAnsi="Systeemlettertype regulier" w:hint="default"/>
      </w:rPr>
    </w:lvl>
    <w:lvl w:ilvl="2" w:tplc="1BFC01AA" w:tentative="1">
      <w:start w:val="1"/>
      <w:numFmt w:val="bullet"/>
      <w:lvlText w:val="▼"/>
      <w:lvlJc w:val="left"/>
      <w:pPr>
        <w:tabs>
          <w:tab w:val="num" w:pos="2160"/>
        </w:tabs>
        <w:ind w:left="2160" w:hanging="360"/>
      </w:pPr>
      <w:rPr>
        <w:rFonts w:ascii="Systeemlettertype regulier" w:hAnsi="Systeemlettertype regulier" w:hint="default"/>
      </w:rPr>
    </w:lvl>
    <w:lvl w:ilvl="3" w:tplc="1D3024D6" w:tentative="1">
      <w:start w:val="1"/>
      <w:numFmt w:val="bullet"/>
      <w:lvlText w:val="▼"/>
      <w:lvlJc w:val="left"/>
      <w:pPr>
        <w:tabs>
          <w:tab w:val="num" w:pos="2880"/>
        </w:tabs>
        <w:ind w:left="2880" w:hanging="360"/>
      </w:pPr>
      <w:rPr>
        <w:rFonts w:ascii="Systeemlettertype regulier" w:hAnsi="Systeemlettertype regulier" w:hint="default"/>
      </w:rPr>
    </w:lvl>
    <w:lvl w:ilvl="4" w:tplc="80C2F00E" w:tentative="1">
      <w:start w:val="1"/>
      <w:numFmt w:val="bullet"/>
      <w:lvlText w:val="▼"/>
      <w:lvlJc w:val="left"/>
      <w:pPr>
        <w:tabs>
          <w:tab w:val="num" w:pos="3600"/>
        </w:tabs>
        <w:ind w:left="3600" w:hanging="360"/>
      </w:pPr>
      <w:rPr>
        <w:rFonts w:ascii="Systeemlettertype regulier" w:hAnsi="Systeemlettertype regulier" w:hint="default"/>
      </w:rPr>
    </w:lvl>
    <w:lvl w:ilvl="5" w:tplc="0BEA5D8A" w:tentative="1">
      <w:start w:val="1"/>
      <w:numFmt w:val="bullet"/>
      <w:lvlText w:val="▼"/>
      <w:lvlJc w:val="left"/>
      <w:pPr>
        <w:tabs>
          <w:tab w:val="num" w:pos="4320"/>
        </w:tabs>
        <w:ind w:left="4320" w:hanging="360"/>
      </w:pPr>
      <w:rPr>
        <w:rFonts w:ascii="Systeemlettertype regulier" w:hAnsi="Systeemlettertype regulier" w:hint="default"/>
      </w:rPr>
    </w:lvl>
    <w:lvl w:ilvl="6" w:tplc="EF067EF4" w:tentative="1">
      <w:start w:val="1"/>
      <w:numFmt w:val="bullet"/>
      <w:lvlText w:val="▼"/>
      <w:lvlJc w:val="left"/>
      <w:pPr>
        <w:tabs>
          <w:tab w:val="num" w:pos="5040"/>
        </w:tabs>
        <w:ind w:left="5040" w:hanging="360"/>
      </w:pPr>
      <w:rPr>
        <w:rFonts w:ascii="Systeemlettertype regulier" w:hAnsi="Systeemlettertype regulier" w:hint="default"/>
      </w:rPr>
    </w:lvl>
    <w:lvl w:ilvl="7" w:tplc="F814DEB6" w:tentative="1">
      <w:start w:val="1"/>
      <w:numFmt w:val="bullet"/>
      <w:lvlText w:val="▼"/>
      <w:lvlJc w:val="left"/>
      <w:pPr>
        <w:tabs>
          <w:tab w:val="num" w:pos="5760"/>
        </w:tabs>
        <w:ind w:left="5760" w:hanging="360"/>
      </w:pPr>
      <w:rPr>
        <w:rFonts w:ascii="Systeemlettertype regulier" w:hAnsi="Systeemlettertype regulier" w:hint="default"/>
      </w:rPr>
    </w:lvl>
    <w:lvl w:ilvl="8" w:tplc="79F2C334" w:tentative="1">
      <w:start w:val="1"/>
      <w:numFmt w:val="bullet"/>
      <w:lvlText w:val="▼"/>
      <w:lvlJc w:val="left"/>
      <w:pPr>
        <w:tabs>
          <w:tab w:val="num" w:pos="6480"/>
        </w:tabs>
        <w:ind w:left="6480" w:hanging="360"/>
      </w:pPr>
      <w:rPr>
        <w:rFonts w:ascii="Systeemlettertype regulier" w:hAnsi="Systeemlettertype regulier" w:hint="default"/>
      </w:rPr>
    </w:lvl>
  </w:abstractNum>
  <w:abstractNum w:abstractNumId="29" w15:restartNumberingAfterBreak="0">
    <w:nsid w:val="52716DDC"/>
    <w:multiLevelType w:val="hybridMultilevel"/>
    <w:tmpl w:val="E610A2F2"/>
    <w:lvl w:ilvl="0" w:tplc="04130001">
      <w:start w:val="1"/>
      <w:numFmt w:val="bullet"/>
      <w:lvlText w:val=""/>
      <w:lvlJc w:val="left"/>
      <w:pPr>
        <w:ind w:left="1189" w:hanging="360"/>
      </w:pPr>
      <w:rPr>
        <w:rFonts w:ascii="Symbol" w:hAnsi="Symbol" w:hint="default"/>
      </w:rPr>
    </w:lvl>
    <w:lvl w:ilvl="1" w:tplc="04130003" w:tentative="1">
      <w:start w:val="1"/>
      <w:numFmt w:val="bullet"/>
      <w:lvlText w:val="o"/>
      <w:lvlJc w:val="left"/>
      <w:pPr>
        <w:ind w:left="1909" w:hanging="360"/>
      </w:pPr>
      <w:rPr>
        <w:rFonts w:ascii="Courier New" w:hAnsi="Courier New" w:cs="Courier New" w:hint="default"/>
      </w:rPr>
    </w:lvl>
    <w:lvl w:ilvl="2" w:tplc="04130005" w:tentative="1">
      <w:start w:val="1"/>
      <w:numFmt w:val="bullet"/>
      <w:lvlText w:val=""/>
      <w:lvlJc w:val="left"/>
      <w:pPr>
        <w:ind w:left="2629" w:hanging="360"/>
      </w:pPr>
      <w:rPr>
        <w:rFonts w:ascii="Wingdings" w:hAnsi="Wingdings" w:hint="default"/>
      </w:rPr>
    </w:lvl>
    <w:lvl w:ilvl="3" w:tplc="04130001" w:tentative="1">
      <w:start w:val="1"/>
      <w:numFmt w:val="bullet"/>
      <w:lvlText w:val=""/>
      <w:lvlJc w:val="left"/>
      <w:pPr>
        <w:ind w:left="3349" w:hanging="360"/>
      </w:pPr>
      <w:rPr>
        <w:rFonts w:ascii="Symbol" w:hAnsi="Symbol" w:hint="default"/>
      </w:rPr>
    </w:lvl>
    <w:lvl w:ilvl="4" w:tplc="04130003" w:tentative="1">
      <w:start w:val="1"/>
      <w:numFmt w:val="bullet"/>
      <w:lvlText w:val="o"/>
      <w:lvlJc w:val="left"/>
      <w:pPr>
        <w:ind w:left="4069" w:hanging="360"/>
      </w:pPr>
      <w:rPr>
        <w:rFonts w:ascii="Courier New" w:hAnsi="Courier New" w:cs="Courier New" w:hint="default"/>
      </w:rPr>
    </w:lvl>
    <w:lvl w:ilvl="5" w:tplc="04130005" w:tentative="1">
      <w:start w:val="1"/>
      <w:numFmt w:val="bullet"/>
      <w:lvlText w:val=""/>
      <w:lvlJc w:val="left"/>
      <w:pPr>
        <w:ind w:left="4789" w:hanging="360"/>
      </w:pPr>
      <w:rPr>
        <w:rFonts w:ascii="Wingdings" w:hAnsi="Wingdings" w:hint="default"/>
      </w:rPr>
    </w:lvl>
    <w:lvl w:ilvl="6" w:tplc="04130001" w:tentative="1">
      <w:start w:val="1"/>
      <w:numFmt w:val="bullet"/>
      <w:lvlText w:val=""/>
      <w:lvlJc w:val="left"/>
      <w:pPr>
        <w:ind w:left="5509" w:hanging="360"/>
      </w:pPr>
      <w:rPr>
        <w:rFonts w:ascii="Symbol" w:hAnsi="Symbol" w:hint="default"/>
      </w:rPr>
    </w:lvl>
    <w:lvl w:ilvl="7" w:tplc="04130003" w:tentative="1">
      <w:start w:val="1"/>
      <w:numFmt w:val="bullet"/>
      <w:lvlText w:val="o"/>
      <w:lvlJc w:val="left"/>
      <w:pPr>
        <w:ind w:left="6229" w:hanging="360"/>
      </w:pPr>
      <w:rPr>
        <w:rFonts w:ascii="Courier New" w:hAnsi="Courier New" w:cs="Courier New" w:hint="default"/>
      </w:rPr>
    </w:lvl>
    <w:lvl w:ilvl="8" w:tplc="04130005" w:tentative="1">
      <w:start w:val="1"/>
      <w:numFmt w:val="bullet"/>
      <w:lvlText w:val=""/>
      <w:lvlJc w:val="left"/>
      <w:pPr>
        <w:ind w:left="6949" w:hanging="360"/>
      </w:pPr>
      <w:rPr>
        <w:rFonts w:ascii="Wingdings" w:hAnsi="Wingdings" w:hint="default"/>
      </w:rPr>
    </w:lvl>
  </w:abstractNum>
  <w:abstractNum w:abstractNumId="30" w15:restartNumberingAfterBreak="0">
    <w:nsid w:val="52997BF9"/>
    <w:multiLevelType w:val="hybridMultilevel"/>
    <w:tmpl w:val="B66852E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2A3B7C"/>
    <w:multiLevelType w:val="hybridMultilevel"/>
    <w:tmpl w:val="631A323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1E5104"/>
    <w:multiLevelType w:val="hybridMultilevel"/>
    <w:tmpl w:val="46A45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457B8E"/>
    <w:multiLevelType w:val="hybridMultilevel"/>
    <w:tmpl w:val="B4661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2B73DD"/>
    <w:multiLevelType w:val="hybridMultilevel"/>
    <w:tmpl w:val="649E666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AC55FF"/>
    <w:multiLevelType w:val="hybridMultilevel"/>
    <w:tmpl w:val="8660772C"/>
    <w:lvl w:ilvl="0" w:tplc="0809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F84A93"/>
    <w:multiLevelType w:val="hybridMultilevel"/>
    <w:tmpl w:val="55389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9948FB"/>
    <w:multiLevelType w:val="hybridMultilevel"/>
    <w:tmpl w:val="1EDA1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0B20A8"/>
    <w:multiLevelType w:val="hybridMultilevel"/>
    <w:tmpl w:val="F88C9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DA1296"/>
    <w:multiLevelType w:val="hybridMultilevel"/>
    <w:tmpl w:val="62387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094F4A"/>
    <w:multiLevelType w:val="hybridMultilevel"/>
    <w:tmpl w:val="341C9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3A7782"/>
    <w:multiLevelType w:val="hybridMultilevel"/>
    <w:tmpl w:val="3412FF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BF201EF"/>
    <w:multiLevelType w:val="hybridMultilevel"/>
    <w:tmpl w:val="943AF70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3" w15:restartNumberingAfterBreak="0">
    <w:nsid w:val="6CF40BA8"/>
    <w:multiLevelType w:val="hybridMultilevel"/>
    <w:tmpl w:val="C298EBD4"/>
    <w:lvl w:ilvl="0" w:tplc="2D0A3900">
      <w:numFmt w:val="bullet"/>
      <w:lvlText w:val="-"/>
      <w:lvlJc w:val="left"/>
      <w:pPr>
        <w:ind w:left="1080" w:hanging="360"/>
      </w:pPr>
      <w:rPr>
        <w:rFonts w:ascii="Frutiger Light" w:eastAsiaTheme="minorHAnsi" w:hAnsi="Frutiger Light"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6D2F6243"/>
    <w:multiLevelType w:val="hybridMultilevel"/>
    <w:tmpl w:val="F80CA5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25C79E4"/>
    <w:multiLevelType w:val="hybridMultilevel"/>
    <w:tmpl w:val="E4B46794"/>
    <w:lvl w:ilvl="0" w:tplc="1BC0D6F0">
      <w:start w:val="1"/>
      <w:numFmt w:val="bullet"/>
      <w:lvlText w:val="▼"/>
      <w:lvlJc w:val="left"/>
      <w:pPr>
        <w:tabs>
          <w:tab w:val="num" w:pos="720"/>
        </w:tabs>
        <w:ind w:left="720" w:hanging="360"/>
      </w:pPr>
      <w:rPr>
        <w:rFonts w:ascii="Systeemlettertype regulier" w:hAnsi="Systeemlettertype regulier" w:hint="default"/>
      </w:rPr>
    </w:lvl>
    <w:lvl w:ilvl="1" w:tplc="50A2A74A" w:tentative="1">
      <w:start w:val="1"/>
      <w:numFmt w:val="bullet"/>
      <w:lvlText w:val="▼"/>
      <w:lvlJc w:val="left"/>
      <w:pPr>
        <w:tabs>
          <w:tab w:val="num" w:pos="1440"/>
        </w:tabs>
        <w:ind w:left="1440" w:hanging="360"/>
      </w:pPr>
      <w:rPr>
        <w:rFonts w:ascii="Systeemlettertype regulier" w:hAnsi="Systeemlettertype regulier" w:hint="default"/>
      </w:rPr>
    </w:lvl>
    <w:lvl w:ilvl="2" w:tplc="2A929DC6" w:tentative="1">
      <w:start w:val="1"/>
      <w:numFmt w:val="bullet"/>
      <w:lvlText w:val="▼"/>
      <w:lvlJc w:val="left"/>
      <w:pPr>
        <w:tabs>
          <w:tab w:val="num" w:pos="2160"/>
        </w:tabs>
        <w:ind w:left="2160" w:hanging="360"/>
      </w:pPr>
      <w:rPr>
        <w:rFonts w:ascii="Systeemlettertype regulier" w:hAnsi="Systeemlettertype regulier" w:hint="default"/>
      </w:rPr>
    </w:lvl>
    <w:lvl w:ilvl="3" w:tplc="1AEC12A0" w:tentative="1">
      <w:start w:val="1"/>
      <w:numFmt w:val="bullet"/>
      <w:lvlText w:val="▼"/>
      <w:lvlJc w:val="left"/>
      <w:pPr>
        <w:tabs>
          <w:tab w:val="num" w:pos="2880"/>
        </w:tabs>
        <w:ind w:left="2880" w:hanging="360"/>
      </w:pPr>
      <w:rPr>
        <w:rFonts w:ascii="Systeemlettertype regulier" w:hAnsi="Systeemlettertype regulier" w:hint="default"/>
      </w:rPr>
    </w:lvl>
    <w:lvl w:ilvl="4" w:tplc="C1CE90E8" w:tentative="1">
      <w:start w:val="1"/>
      <w:numFmt w:val="bullet"/>
      <w:lvlText w:val="▼"/>
      <w:lvlJc w:val="left"/>
      <w:pPr>
        <w:tabs>
          <w:tab w:val="num" w:pos="3600"/>
        </w:tabs>
        <w:ind w:left="3600" w:hanging="360"/>
      </w:pPr>
      <w:rPr>
        <w:rFonts w:ascii="Systeemlettertype regulier" w:hAnsi="Systeemlettertype regulier" w:hint="default"/>
      </w:rPr>
    </w:lvl>
    <w:lvl w:ilvl="5" w:tplc="A1863748" w:tentative="1">
      <w:start w:val="1"/>
      <w:numFmt w:val="bullet"/>
      <w:lvlText w:val="▼"/>
      <w:lvlJc w:val="left"/>
      <w:pPr>
        <w:tabs>
          <w:tab w:val="num" w:pos="4320"/>
        </w:tabs>
        <w:ind w:left="4320" w:hanging="360"/>
      </w:pPr>
      <w:rPr>
        <w:rFonts w:ascii="Systeemlettertype regulier" w:hAnsi="Systeemlettertype regulier" w:hint="default"/>
      </w:rPr>
    </w:lvl>
    <w:lvl w:ilvl="6" w:tplc="46443642" w:tentative="1">
      <w:start w:val="1"/>
      <w:numFmt w:val="bullet"/>
      <w:lvlText w:val="▼"/>
      <w:lvlJc w:val="left"/>
      <w:pPr>
        <w:tabs>
          <w:tab w:val="num" w:pos="5040"/>
        </w:tabs>
        <w:ind w:left="5040" w:hanging="360"/>
      </w:pPr>
      <w:rPr>
        <w:rFonts w:ascii="Systeemlettertype regulier" w:hAnsi="Systeemlettertype regulier" w:hint="default"/>
      </w:rPr>
    </w:lvl>
    <w:lvl w:ilvl="7" w:tplc="DF8C8CE6" w:tentative="1">
      <w:start w:val="1"/>
      <w:numFmt w:val="bullet"/>
      <w:lvlText w:val="▼"/>
      <w:lvlJc w:val="left"/>
      <w:pPr>
        <w:tabs>
          <w:tab w:val="num" w:pos="5760"/>
        </w:tabs>
        <w:ind w:left="5760" w:hanging="360"/>
      </w:pPr>
      <w:rPr>
        <w:rFonts w:ascii="Systeemlettertype regulier" w:hAnsi="Systeemlettertype regulier" w:hint="default"/>
      </w:rPr>
    </w:lvl>
    <w:lvl w:ilvl="8" w:tplc="D70A3B7E" w:tentative="1">
      <w:start w:val="1"/>
      <w:numFmt w:val="bullet"/>
      <w:lvlText w:val="▼"/>
      <w:lvlJc w:val="left"/>
      <w:pPr>
        <w:tabs>
          <w:tab w:val="num" w:pos="6480"/>
        </w:tabs>
        <w:ind w:left="6480" w:hanging="360"/>
      </w:pPr>
      <w:rPr>
        <w:rFonts w:ascii="Systeemlettertype regulier" w:hAnsi="Systeemlettertype regulier" w:hint="default"/>
      </w:rPr>
    </w:lvl>
  </w:abstractNum>
  <w:abstractNum w:abstractNumId="46" w15:restartNumberingAfterBreak="0">
    <w:nsid w:val="72E214C2"/>
    <w:multiLevelType w:val="hybridMultilevel"/>
    <w:tmpl w:val="FE02562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15:restartNumberingAfterBreak="0">
    <w:nsid w:val="743E4A91"/>
    <w:multiLevelType w:val="hybridMultilevel"/>
    <w:tmpl w:val="A5DC77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65D0CD0"/>
    <w:multiLevelType w:val="hybridMultilevel"/>
    <w:tmpl w:val="9766A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CA097E"/>
    <w:multiLevelType w:val="hybridMultilevel"/>
    <w:tmpl w:val="8C946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AB71922"/>
    <w:multiLevelType w:val="hybridMultilevel"/>
    <w:tmpl w:val="4968AB5A"/>
    <w:lvl w:ilvl="0" w:tplc="9BC6997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BC15F11"/>
    <w:multiLevelType w:val="hybridMultilevel"/>
    <w:tmpl w:val="B1A0E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C300CD9"/>
    <w:multiLevelType w:val="hybridMultilevel"/>
    <w:tmpl w:val="243EA7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F2A3FA1"/>
    <w:multiLevelType w:val="hybridMultilevel"/>
    <w:tmpl w:val="9BE4E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9268645">
    <w:abstractNumId w:val="5"/>
  </w:num>
  <w:num w:numId="2" w16cid:durableId="1136754182">
    <w:abstractNumId w:val="22"/>
  </w:num>
  <w:num w:numId="3" w16cid:durableId="822965454">
    <w:abstractNumId w:val="26"/>
  </w:num>
  <w:num w:numId="4" w16cid:durableId="52509496">
    <w:abstractNumId w:val="0"/>
  </w:num>
  <w:num w:numId="5" w16cid:durableId="1571430167">
    <w:abstractNumId w:val="37"/>
  </w:num>
  <w:num w:numId="6" w16cid:durableId="959263420">
    <w:abstractNumId w:val="12"/>
  </w:num>
  <w:num w:numId="7" w16cid:durableId="492724875">
    <w:abstractNumId w:val="53"/>
  </w:num>
  <w:num w:numId="8" w16cid:durableId="1413813323">
    <w:abstractNumId w:val="48"/>
  </w:num>
  <w:num w:numId="9" w16cid:durableId="1830171608">
    <w:abstractNumId w:val="23"/>
  </w:num>
  <w:num w:numId="10" w16cid:durableId="1501773815">
    <w:abstractNumId w:val="9"/>
  </w:num>
  <w:num w:numId="11" w16cid:durableId="1831554589">
    <w:abstractNumId w:val="6"/>
  </w:num>
  <w:num w:numId="12" w16cid:durableId="834153975">
    <w:abstractNumId w:val="36"/>
  </w:num>
  <w:num w:numId="13" w16cid:durableId="218829237">
    <w:abstractNumId w:val="38"/>
  </w:num>
  <w:num w:numId="14" w16cid:durableId="607539650">
    <w:abstractNumId w:val="32"/>
  </w:num>
  <w:num w:numId="15" w16cid:durableId="1427381366">
    <w:abstractNumId w:val="8"/>
  </w:num>
  <w:num w:numId="16" w16cid:durableId="138302414">
    <w:abstractNumId w:val="1"/>
  </w:num>
  <w:num w:numId="17" w16cid:durableId="430051405">
    <w:abstractNumId w:val="21"/>
  </w:num>
  <w:num w:numId="18" w16cid:durableId="940143022">
    <w:abstractNumId w:val="30"/>
  </w:num>
  <w:num w:numId="19" w16cid:durableId="434862809">
    <w:abstractNumId w:val="34"/>
  </w:num>
  <w:num w:numId="20" w16cid:durableId="1875463990">
    <w:abstractNumId w:val="2"/>
  </w:num>
  <w:num w:numId="21" w16cid:durableId="423579004">
    <w:abstractNumId w:val="10"/>
  </w:num>
  <w:num w:numId="22" w16cid:durableId="1819766211">
    <w:abstractNumId w:val="40"/>
  </w:num>
  <w:num w:numId="23" w16cid:durableId="1894535639">
    <w:abstractNumId w:val="33"/>
  </w:num>
  <w:num w:numId="24" w16cid:durableId="1056469189">
    <w:abstractNumId w:val="39"/>
  </w:num>
  <w:num w:numId="25" w16cid:durableId="417137640">
    <w:abstractNumId w:val="50"/>
  </w:num>
  <w:num w:numId="26" w16cid:durableId="925916855">
    <w:abstractNumId w:val="18"/>
  </w:num>
  <w:num w:numId="27" w16cid:durableId="2012876724">
    <w:abstractNumId w:val="25"/>
  </w:num>
  <w:num w:numId="28" w16cid:durableId="2108379221">
    <w:abstractNumId w:val="51"/>
  </w:num>
  <w:num w:numId="29" w16cid:durableId="2021078938">
    <w:abstractNumId w:val="49"/>
  </w:num>
  <w:num w:numId="30" w16cid:durableId="150410419">
    <w:abstractNumId w:val="44"/>
  </w:num>
  <w:num w:numId="31" w16cid:durableId="1095589804">
    <w:abstractNumId w:val="27"/>
  </w:num>
  <w:num w:numId="32" w16cid:durableId="1482622396">
    <w:abstractNumId w:val="41"/>
  </w:num>
  <w:num w:numId="33" w16cid:durableId="1567837224">
    <w:abstractNumId w:val="11"/>
  </w:num>
  <w:num w:numId="34" w16cid:durableId="1003893840">
    <w:abstractNumId w:val="17"/>
  </w:num>
  <w:num w:numId="35" w16cid:durableId="38751696">
    <w:abstractNumId w:val="19"/>
  </w:num>
  <w:num w:numId="36" w16cid:durableId="1606842589">
    <w:abstractNumId w:val="15"/>
  </w:num>
  <w:num w:numId="37" w16cid:durableId="310403032">
    <w:abstractNumId w:val="47"/>
  </w:num>
  <w:num w:numId="38" w16cid:durableId="2142920912">
    <w:abstractNumId w:val="46"/>
  </w:num>
  <w:num w:numId="39" w16cid:durableId="635260075">
    <w:abstractNumId w:val="14"/>
  </w:num>
  <w:num w:numId="40" w16cid:durableId="831871152">
    <w:abstractNumId w:val="42"/>
  </w:num>
  <w:num w:numId="41" w16cid:durableId="1100611888">
    <w:abstractNumId w:val="29"/>
  </w:num>
  <w:num w:numId="42" w16cid:durableId="1256592705">
    <w:abstractNumId w:val="3"/>
  </w:num>
  <w:num w:numId="43" w16cid:durableId="441388635">
    <w:abstractNumId w:val="20"/>
  </w:num>
  <w:num w:numId="44" w16cid:durableId="1498032266">
    <w:abstractNumId w:val="52"/>
  </w:num>
  <w:num w:numId="45" w16cid:durableId="679741962">
    <w:abstractNumId w:val="13"/>
  </w:num>
  <w:num w:numId="46" w16cid:durableId="1658262899">
    <w:abstractNumId w:val="35"/>
  </w:num>
  <w:num w:numId="47" w16cid:durableId="1432241437">
    <w:abstractNumId w:val="7"/>
  </w:num>
  <w:num w:numId="48" w16cid:durableId="112673735">
    <w:abstractNumId w:val="16"/>
  </w:num>
  <w:num w:numId="49" w16cid:durableId="2064987827">
    <w:abstractNumId w:val="31"/>
  </w:num>
  <w:num w:numId="50" w16cid:durableId="720254220">
    <w:abstractNumId w:val="4"/>
  </w:num>
  <w:num w:numId="51" w16cid:durableId="1760522311">
    <w:abstractNumId w:val="45"/>
  </w:num>
  <w:num w:numId="52" w16cid:durableId="641160148">
    <w:abstractNumId w:val="28"/>
  </w:num>
  <w:num w:numId="53" w16cid:durableId="878279112">
    <w:abstractNumId w:val="24"/>
  </w:num>
  <w:num w:numId="54" w16cid:durableId="1529371699">
    <w:abstractNumId w:val="4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E45"/>
    <w:rsid w:val="00000993"/>
    <w:rsid w:val="00006A24"/>
    <w:rsid w:val="00006D27"/>
    <w:rsid w:val="00011774"/>
    <w:rsid w:val="0001183E"/>
    <w:rsid w:val="00012F75"/>
    <w:rsid w:val="00013715"/>
    <w:rsid w:val="00023192"/>
    <w:rsid w:val="000232A9"/>
    <w:rsid w:val="0002441B"/>
    <w:rsid w:val="000249B7"/>
    <w:rsid w:val="00027B2B"/>
    <w:rsid w:val="000303E1"/>
    <w:rsid w:val="00031880"/>
    <w:rsid w:val="000326ED"/>
    <w:rsid w:val="00032F6C"/>
    <w:rsid w:val="00036517"/>
    <w:rsid w:val="00040113"/>
    <w:rsid w:val="00041793"/>
    <w:rsid w:val="000419D2"/>
    <w:rsid w:val="00041ED1"/>
    <w:rsid w:val="000427AD"/>
    <w:rsid w:val="00044D4B"/>
    <w:rsid w:val="00045D9D"/>
    <w:rsid w:val="00050F54"/>
    <w:rsid w:val="00051A83"/>
    <w:rsid w:val="00051C4B"/>
    <w:rsid w:val="00051C97"/>
    <w:rsid w:val="000527B1"/>
    <w:rsid w:val="0005307C"/>
    <w:rsid w:val="00061A5E"/>
    <w:rsid w:val="0006425F"/>
    <w:rsid w:val="00064658"/>
    <w:rsid w:val="000661A1"/>
    <w:rsid w:val="00070954"/>
    <w:rsid w:val="00070E59"/>
    <w:rsid w:val="00072007"/>
    <w:rsid w:val="0007286C"/>
    <w:rsid w:val="00073F79"/>
    <w:rsid w:val="00081F9C"/>
    <w:rsid w:val="00084F63"/>
    <w:rsid w:val="00086E12"/>
    <w:rsid w:val="00093216"/>
    <w:rsid w:val="000971EB"/>
    <w:rsid w:val="00097EBE"/>
    <w:rsid w:val="000A0DE3"/>
    <w:rsid w:val="000A225C"/>
    <w:rsid w:val="000A5442"/>
    <w:rsid w:val="000A7159"/>
    <w:rsid w:val="000B02A2"/>
    <w:rsid w:val="000B13D6"/>
    <w:rsid w:val="000B6FF6"/>
    <w:rsid w:val="000B7B22"/>
    <w:rsid w:val="000C00C6"/>
    <w:rsid w:val="000C00E0"/>
    <w:rsid w:val="000C575A"/>
    <w:rsid w:val="000C610B"/>
    <w:rsid w:val="000D05C5"/>
    <w:rsid w:val="000D319A"/>
    <w:rsid w:val="000D3D38"/>
    <w:rsid w:val="000D43E7"/>
    <w:rsid w:val="000D5681"/>
    <w:rsid w:val="000D6191"/>
    <w:rsid w:val="000D7C30"/>
    <w:rsid w:val="000E024C"/>
    <w:rsid w:val="000E0900"/>
    <w:rsid w:val="000E1433"/>
    <w:rsid w:val="000E2DD1"/>
    <w:rsid w:val="000E34E8"/>
    <w:rsid w:val="000E5F21"/>
    <w:rsid w:val="000E63D9"/>
    <w:rsid w:val="000E6641"/>
    <w:rsid w:val="000E71AF"/>
    <w:rsid w:val="000F14A5"/>
    <w:rsid w:val="000F43D3"/>
    <w:rsid w:val="001021B9"/>
    <w:rsid w:val="0010363F"/>
    <w:rsid w:val="001037E1"/>
    <w:rsid w:val="00103846"/>
    <w:rsid w:val="00104234"/>
    <w:rsid w:val="0011070D"/>
    <w:rsid w:val="001135FE"/>
    <w:rsid w:val="00114374"/>
    <w:rsid w:val="001216AB"/>
    <w:rsid w:val="001222FF"/>
    <w:rsid w:val="00123899"/>
    <w:rsid w:val="00127D1C"/>
    <w:rsid w:val="00130879"/>
    <w:rsid w:val="00132131"/>
    <w:rsid w:val="00132FDE"/>
    <w:rsid w:val="00136A1D"/>
    <w:rsid w:val="00136BB4"/>
    <w:rsid w:val="00136F00"/>
    <w:rsid w:val="0014076B"/>
    <w:rsid w:val="001409A4"/>
    <w:rsid w:val="00142424"/>
    <w:rsid w:val="00143858"/>
    <w:rsid w:val="00144557"/>
    <w:rsid w:val="00144BF3"/>
    <w:rsid w:val="00151E60"/>
    <w:rsid w:val="001542EF"/>
    <w:rsid w:val="0015558F"/>
    <w:rsid w:val="00155F96"/>
    <w:rsid w:val="0015798A"/>
    <w:rsid w:val="00157F4D"/>
    <w:rsid w:val="00160F3F"/>
    <w:rsid w:val="00161366"/>
    <w:rsid w:val="001617A8"/>
    <w:rsid w:val="00162763"/>
    <w:rsid w:val="00163105"/>
    <w:rsid w:val="00163303"/>
    <w:rsid w:val="001656BC"/>
    <w:rsid w:val="00171C78"/>
    <w:rsid w:val="00171FC8"/>
    <w:rsid w:val="0017430E"/>
    <w:rsid w:val="001752D8"/>
    <w:rsid w:val="0017550D"/>
    <w:rsid w:val="00175B74"/>
    <w:rsid w:val="00176C40"/>
    <w:rsid w:val="00177A54"/>
    <w:rsid w:val="0018093D"/>
    <w:rsid w:val="00183390"/>
    <w:rsid w:val="001846A0"/>
    <w:rsid w:val="00184D33"/>
    <w:rsid w:val="00186B9E"/>
    <w:rsid w:val="0018757F"/>
    <w:rsid w:val="001875C7"/>
    <w:rsid w:val="00191769"/>
    <w:rsid w:val="00193C7C"/>
    <w:rsid w:val="00195A73"/>
    <w:rsid w:val="001A0C9C"/>
    <w:rsid w:val="001A1BBF"/>
    <w:rsid w:val="001A225D"/>
    <w:rsid w:val="001A469F"/>
    <w:rsid w:val="001A4CB4"/>
    <w:rsid w:val="001A7227"/>
    <w:rsid w:val="001A7ECB"/>
    <w:rsid w:val="001B062F"/>
    <w:rsid w:val="001B09DC"/>
    <w:rsid w:val="001B1FA4"/>
    <w:rsid w:val="001B2AE9"/>
    <w:rsid w:val="001B2EC0"/>
    <w:rsid w:val="001B3687"/>
    <w:rsid w:val="001B3FA4"/>
    <w:rsid w:val="001B4251"/>
    <w:rsid w:val="001B427C"/>
    <w:rsid w:val="001B4EEE"/>
    <w:rsid w:val="001B61EC"/>
    <w:rsid w:val="001B7C04"/>
    <w:rsid w:val="001C2CF0"/>
    <w:rsid w:val="001C2EF5"/>
    <w:rsid w:val="001C3A01"/>
    <w:rsid w:val="001C4751"/>
    <w:rsid w:val="001C70DF"/>
    <w:rsid w:val="001D1E2D"/>
    <w:rsid w:val="001D26A0"/>
    <w:rsid w:val="001D4DD9"/>
    <w:rsid w:val="001D5B48"/>
    <w:rsid w:val="001E58BF"/>
    <w:rsid w:val="001E5C4E"/>
    <w:rsid w:val="001E699B"/>
    <w:rsid w:val="001F1C50"/>
    <w:rsid w:val="001F213E"/>
    <w:rsid w:val="001F2BAE"/>
    <w:rsid w:val="001F4149"/>
    <w:rsid w:val="001F4955"/>
    <w:rsid w:val="001F6DE0"/>
    <w:rsid w:val="002011AC"/>
    <w:rsid w:val="00211C79"/>
    <w:rsid w:val="00212974"/>
    <w:rsid w:val="0021354D"/>
    <w:rsid w:val="0021357E"/>
    <w:rsid w:val="00214DF6"/>
    <w:rsid w:val="00217470"/>
    <w:rsid w:val="0022037E"/>
    <w:rsid w:val="0022261C"/>
    <w:rsid w:val="00223734"/>
    <w:rsid w:val="00223E01"/>
    <w:rsid w:val="002245BD"/>
    <w:rsid w:val="00224AB7"/>
    <w:rsid w:val="002258EB"/>
    <w:rsid w:val="00230C5D"/>
    <w:rsid w:val="00232FF7"/>
    <w:rsid w:val="00235D6D"/>
    <w:rsid w:val="0023776C"/>
    <w:rsid w:val="002405D4"/>
    <w:rsid w:val="0024194A"/>
    <w:rsid w:val="00242211"/>
    <w:rsid w:val="00245DCC"/>
    <w:rsid w:val="002511E3"/>
    <w:rsid w:val="002528DC"/>
    <w:rsid w:val="002539BD"/>
    <w:rsid w:val="00253B1A"/>
    <w:rsid w:val="002576B8"/>
    <w:rsid w:val="002630E8"/>
    <w:rsid w:val="0026346D"/>
    <w:rsid w:val="00266541"/>
    <w:rsid w:val="0026707A"/>
    <w:rsid w:val="00270389"/>
    <w:rsid w:val="00270695"/>
    <w:rsid w:val="0027098D"/>
    <w:rsid w:val="00271A72"/>
    <w:rsid w:val="00273C63"/>
    <w:rsid w:val="00277553"/>
    <w:rsid w:val="00277A7B"/>
    <w:rsid w:val="00277AD2"/>
    <w:rsid w:val="002817A5"/>
    <w:rsid w:val="00282291"/>
    <w:rsid w:val="00282690"/>
    <w:rsid w:val="002835FE"/>
    <w:rsid w:val="00284B6B"/>
    <w:rsid w:val="0028505C"/>
    <w:rsid w:val="002852B2"/>
    <w:rsid w:val="0028643B"/>
    <w:rsid w:val="00292C6D"/>
    <w:rsid w:val="0029313C"/>
    <w:rsid w:val="00295524"/>
    <w:rsid w:val="00295FA8"/>
    <w:rsid w:val="00296646"/>
    <w:rsid w:val="002974C2"/>
    <w:rsid w:val="002A1682"/>
    <w:rsid w:val="002A246A"/>
    <w:rsid w:val="002A5DFF"/>
    <w:rsid w:val="002A5F41"/>
    <w:rsid w:val="002A634A"/>
    <w:rsid w:val="002A7115"/>
    <w:rsid w:val="002A731D"/>
    <w:rsid w:val="002A7464"/>
    <w:rsid w:val="002A7D6F"/>
    <w:rsid w:val="002B1E86"/>
    <w:rsid w:val="002B3076"/>
    <w:rsid w:val="002B3C1E"/>
    <w:rsid w:val="002B4D75"/>
    <w:rsid w:val="002B5E72"/>
    <w:rsid w:val="002B60EA"/>
    <w:rsid w:val="002B6DE9"/>
    <w:rsid w:val="002B7418"/>
    <w:rsid w:val="002B74F1"/>
    <w:rsid w:val="002B7D20"/>
    <w:rsid w:val="002C0988"/>
    <w:rsid w:val="002C1296"/>
    <w:rsid w:val="002C1AA0"/>
    <w:rsid w:val="002C2A27"/>
    <w:rsid w:val="002C551B"/>
    <w:rsid w:val="002C5DD9"/>
    <w:rsid w:val="002C6217"/>
    <w:rsid w:val="002D3B44"/>
    <w:rsid w:val="002D5424"/>
    <w:rsid w:val="002D5834"/>
    <w:rsid w:val="002E1AAA"/>
    <w:rsid w:val="002E1DFD"/>
    <w:rsid w:val="002E2635"/>
    <w:rsid w:val="002E544F"/>
    <w:rsid w:val="002E616A"/>
    <w:rsid w:val="002F06E7"/>
    <w:rsid w:val="002F2B4A"/>
    <w:rsid w:val="002F30B6"/>
    <w:rsid w:val="003040F7"/>
    <w:rsid w:val="00305278"/>
    <w:rsid w:val="003064C6"/>
    <w:rsid w:val="00306827"/>
    <w:rsid w:val="00306F2A"/>
    <w:rsid w:val="003075CB"/>
    <w:rsid w:val="0030785B"/>
    <w:rsid w:val="00307CD6"/>
    <w:rsid w:val="00311BC9"/>
    <w:rsid w:val="00314274"/>
    <w:rsid w:val="00315628"/>
    <w:rsid w:val="003201E4"/>
    <w:rsid w:val="00320336"/>
    <w:rsid w:val="00320827"/>
    <w:rsid w:val="00324945"/>
    <w:rsid w:val="00325E19"/>
    <w:rsid w:val="0033303A"/>
    <w:rsid w:val="003338ED"/>
    <w:rsid w:val="00334936"/>
    <w:rsid w:val="00335E67"/>
    <w:rsid w:val="00347516"/>
    <w:rsid w:val="003509F2"/>
    <w:rsid w:val="00352169"/>
    <w:rsid w:val="00352524"/>
    <w:rsid w:val="00352F24"/>
    <w:rsid w:val="00354813"/>
    <w:rsid w:val="00354C56"/>
    <w:rsid w:val="00357A50"/>
    <w:rsid w:val="00363810"/>
    <w:rsid w:val="0036476E"/>
    <w:rsid w:val="00367188"/>
    <w:rsid w:val="003753EB"/>
    <w:rsid w:val="00376B59"/>
    <w:rsid w:val="0037782B"/>
    <w:rsid w:val="00382DCA"/>
    <w:rsid w:val="0038580D"/>
    <w:rsid w:val="00386B8F"/>
    <w:rsid w:val="003870D0"/>
    <w:rsid w:val="003914BE"/>
    <w:rsid w:val="003922CC"/>
    <w:rsid w:val="00392C4A"/>
    <w:rsid w:val="00394C01"/>
    <w:rsid w:val="00394F64"/>
    <w:rsid w:val="003A19D9"/>
    <w:rsid w:val="003A2101"/>
    <w:rsid w:val="003A21FD"/>
    <w:rsid w:val="003A4242"/>
    <w:rsid w:val="003A5982"/>
    <w:rsid w:val="003B038E"/>
    <w:rsid w:val="003B49BA"/>
    <w:rsid w:val="003B4AE4"/>
    <w:rsid w:val="003B5370"/>
    <w:rsid w:val="003B6ED2"/>
    <w:rsid w:val="003B72C9"/>
    <w:rsid w:val="003B79B2"/>
    <w:rsid w:val="003C1FEF"/>
    <w:rsid w:val="003C2AF5"/>
    <w:rsid w:val="003C32F6"/>
    <w:rsid w:val="003C455A"/>
    <w:rsid w:val="003C5B15"/>
    <w:rsid w:val="003C6FE5"/>
    <w:rsid w:val="003D0A2C"/>
    <w:rsid w:val="003D22FA"/>
    <w:rsid w:val="003D4A79"/>
    <w:rsid w:val="003D5542"/>
    <w:rsid w:val="003E1925"/>
    <w:rsid w:val="003E4385"/>
    <w:rsid w:val="003E46D8"/>
    <w:rsid w:val="003E5188"/>
    <w:rsid w:val="003E7D11"/>
    <w:rsid w:val="003F1331"/>
    <w:rsid w:val="003F153C"/>
    <w:rsid w:val="003F2262"/>
    <w:rsid w:val="003F35B4"/>
    <w:rsid w:val="003F4E7E"/>
    <w:rsid w:val="003F5617"/>
    <w:rsid w:val="003F6F3F"/>
    <w:rsid w:val="0040029C"/>
    <w:rsid w:val="00401D87"/>
    <w:rsid w:val="00403100"/>
    <w:rsid w:val="004050F0"/>
    <w:rsid w:val="0040667D"/>
    <w:rsid w:val="004067E3"/>
    <w:rsid w:val="004072A2"/>
    <w:rsid w:val="0041071B"/>
    <w:rsid w:val="00412E70"/>
    <w:rsid w:val="004132F3"/>
    <w:rsid w:val="00413DD6"/>
    <w:rsid w:val="00414417"/>
    <w:rsid w:val="004156E3"/>
    <w:rsid w:val="0042509E"/>
    <w:rsid w:val="0042722B"/>
    <w:rsid w:val="0043207B"/>
    <w:rsid w:val="00432DF6"/>
    <w:rsid w:val="00433C69"/>
    <w:rsid w:val="004347AC"/>
    <w:rsid w:val="00434848"/>
    <w:rsid w:val="004354C4"/>
    <w:rsid w:val="00435E14"/>
    <w:rsid w:val="0043747E"/>
    <w:rsid w:val="00437C95"/>
    <w:rsid w:val="004417F4"/>
    <w:rsid w:val="004454E4"/>
    <w:rsid w:val="00450615"/>
    <w:rsid w:val="00451E81"/>
    <w:rsid w:val="00453D2E"/>
    <w:rsid w:val="00454BEE"/>
    <w:rsid w:val="004577F5"/>
    <w:rsid w:val="00467BD1"/>
    <w:rsid w:val="004711DB"/>
    <w:rsid w:val="0047176D"/>
    <w:rsid w:val="00472DEA"/>
    <w:rsid w:val="004747EC"/>
    <w:rsid w:val="00476417"/>
    <w:rsid w:val="004777CE"/>
    <w:rsid w:val="00480524"/>
    <w:rsid w:val="0048142F"/>
    <w:rsid w:val="00482C6A"/>
    <w:rsid w:val="0048364B"/>
    <w:rsid w:val="004845C3"/>
    <w:rsid w:val="00486B4D"/>
    <w:rsid w:val="00487CDE"/>
    <w:rsid w:val="00490C50"/>
    <w:rsid w:val="0049188E"/>
    <w:rsid w:val="004933D5"/>
    <w:rsid w:val="004974A5"/>
    <w:rsid w:val="004A0987"/>
    <w:rsid w:val="004A57E7"/>
    <w:rsid w:val="004A5A0D"/>
    <w:rsid w:val="004A5EB4"/>
    <w:rsid w:val="004A6537"/>
    <w:rsid w:val="004A6E06"/>
    <w:rsid w:val="004A703D"/>
    <w:rsid w:val="004A7887"/>
    <w:rsid w:val="004A7DB1"/>
    <w:rsid w:val="004B1559"/>
    <w:rsid w:val="004B16F6"/>
    <w:rsid w:val="004B4973"/>
    <w:rsid w:val="004C0CBB"/>
    <w:rsid w:val="004C10CF"/>
    <w:rsid w:val="004C1D53"/>
    <w:rsid w:val="004C37FE"/>
    <w:rsid w:val="004C5261"/>
    <w:rsid w:val="004C5377"/>
    <w:rsid w:val="004C5A55"/>
    <w:rsid w:val="004C78E0"/>
    <w:rsid w:val="004D1125"/>
    <w:rsid w:val="004D1406"/>
    <w:rsid w:val="004D7C1F"/>
    <w:rsid w:val="004E1459"/>
    <w:rsid w:val="004E33A4"/>
    <w:rsid w:val="004E44F1"/>
    <w:rsid w:val="004E46FD"/>
    <w:rsid w:val="004E567D"/>
    <w:rsid w:val="004F45BA"/>
    <w:rsid w:val="004F46C1"/>
    <w:rsid w:val="004F5C27"/>
    <w:rsid w:val="005052F6"/>
    <w:rsid w:val="005107A6"/>
    <w:rsid w:val="00510E61"/>
    <w:rsid w:val="00511ED8"/>
    <w:rsid w:val="005125A8"/>
    <w:rsid w:val="00513F4B"/>
    <w:rsid w:val="005154B9"/>
    <w:rsid w:val="005173EE"/>
    <w:rsid w:val="00517E54"/>
    <w:rsid w:val="0052075C"/>
    <w:rsid w:val="00520D0D"/>
    <w:rsid w:val="00521784"/>
    <w:rsid w:val="00521C76"/>
    <w:rsid w:val="00521CEF"/>
    <w:rsid w:val="005230DB"/>
    <w:rsid w:val="00523C3B"/>
    <w:rsid w:val="0052647B"/>
    <w:rsid w:val="0052759E"/>
    <w:rsid w:val="005325E2"/>
    <w:rsid w:val="00532E6D"/>
    <w:rsid w:val="005337D7"/>
    <w:rsid w:val="0053468D"/>
    <w:rsid w:val="00535920"/>
    <w:rsid w:val="00536D34"/>
    <w:rsid w:val="00540D35"/>
    <w:rsid w:val="005430F4"/>
    <w:rsid w:val="00547DFD"/>
    <w:rsid w:val="005519EA"/>
    <w:rsid w:val="005523AB"/>
    <w:rsid w:val="005534AD"/>
    <w:rsid w:val="00555661"/>
    <w:rsid w:val="00555731"/>
    <w:rsid w:val="005564FD"/>
    <w:rsid w:val="005649D3"/>
    <w:rsid w:val="00565E4A"/>
    <w:rsid w:val="00567C65"/>
    <w:rsid w:val="00570252"/>
    <w:rsid w:val="005723CD"/>
    <w:rsid w:val="005737AE"/>
    <w:rsid w:val="00577505"/>
    <w:rsid w:val="005806C0"/>
    <w:rsid w:val="005816B2"/>
    <w:rsid w:val="005824B9"/>
    <w:rsid w:val="00582549"/>
    <w:rsid w:val="00583476"/>
    <w:rsid w:val="0059235F"/>
    <w:rsid w:val="005953A7"/>
    <w:rsid w:val="0059697A"/>
    <w:rsid w:val="005A037E"/>
    <w:rsid w:val="005A2144"/>
    <w:rsid w:val="005A267C"/>
    <w:rsid w:val="005A26C9"/>
    <w:rsid w:val="005A2862"/>
    <w:rsid w:val="005A2F5E"/>
    <w:rsid w:val="005A4011"/>
    <w:rsid w:val="005A64F7"/>
    <w:rsid w:val="005A6DA8"/>
    <w:rsid w:val="005A6EFC"/>
    <w:rsid w:val="005A76E4"/>
    <w:rsid w:val="005B0176"/>
    <w:rsid w:val="005B0A61"/>
    <w:rsid w:val="005B0CB9"/>
    <w:rsid w:val="005B33B7"/>
    <w:rsid w:val="005B3B0D"/>
    <w:rsid w:val="005C2081"/>
    <w:rsid w:val="005C73E6"/>
    <w:rsid w:val="005D265B"/>
    <w:rsid w:val="005D60B5"/>
    <w:rsid w:val="005D7560"/>
    <w:rsid w:val="005D7A40"/>
    <w:rsid w:val="005E2BEF"/>
    <w:rsid w:val="005E43E2"/>
    <w:rsid w:val="005E4C2D"/>
    <w:rsid w:val="005E617B"/>
    <w:rsid w:val="005E6D61"/>
    <w:rsid w:val="005F3430"/>
    <w:rsid w:val="005F402F"/>
    <w:rsid w:val="00607CF6"/>
    <w:rsid w:val="0061043F"/>
    <w:rsid w:val="00611B32"/>
    <w:rsid w:val="006120AC"/>
    <w:rsid w:val="00612757"/>
    <w:rsid w:val="00613B0D"/>
    <w:rsid w:val="00613C80"/>
    <w:rsid w:val="00614460"/>
    <w:rsid w:val="00614A65"/>
    <w:rsid w:val="00616AE2"/>
    <w:rsid w:val="006174A6"/>
    <w:rsid w:val="00617BA5"/>
    <w:rsid w:val="00621EF0"/>
    <w:rsid w:val="00622460"/>
    <w:rsid w:val="006242D8"/>
    <w:rsid w:val="0062624A"/>
    <w:rsid w:val="00627313"/>
    <w:rsid w:val="00627611"/>
    <w:rsid w:val="006306BE"/>
    <w:rsid w:val="006310BE"/>
    <w:rsid w:val="00632066"/>
    <w:rsid w:val="00632C15"/>
    <w:rsid w:val="00640301"/>
    <w:rsid w:val="00640F7C"/>
    <w:rsid w:val="00641F24"/>
    <w:rsid w:val="0064361F"/>
    <w:rsid w:val="00647386"/>
    <w:rsid w:val="00652FBE"/>
    <w:rsid w:val="006537B3"/>
    <w:rsid w:val="00654C4B"/>
    <w:rsid w:val="0065746E"/>
    <w:rsid w:val="006579CA"/>
    <w:rsid w:val="006601E2"/>
    <w:rsid w:val="006633E5"/>
    <w:rsid w:val="00663B99"/>
    <w:rsid w:val="006641C9"/>
    <w:rsid w:val="006651FE"/>
    <w:rsid w:val="00670829"/>
    <w:rsid w:val="00670CCD"/>
    <w:rsid w:val="006719F5"/>
    <w:rsid w:val="00673CD3"/>
    <w:rsid w:val="00675468"/>
    <w:rsid w:val="00675D73"/>
    <w:rsid w:val="00681111"/>
    <w:rsid w:val="0068473C"/>
    <w:rsid w:val="00686EAB"/>
    <w:rsid w:val="0069130F"/>
    <w:rsid w:val="00693A94"/>
    <w:rsid w:val="00695ABE"/>
    <w:rsid w:val="0069683E"/>
    <w:rsid w:val="00697A7C"/>
    <w:rsid w:val="006A0D0A"/>
    <w:rsid w:val="006A1177"/>
    <w:rsid w:val="006B106C"/>
    <w:rsid w:val="006B25EF"/>
    <w:rsid w:val="006B3AE3"/>
    <w:rsid w:val="006B5AC7"/>
    <w:rsid w:val="006B5FB0"/>
    <w:rsid w:val="006B7705"/>
    <w:rsid w:val="006C3DB5"/>
    <w:rsid w:val="006C4E2E"/>
    <w:rsid w:val="006C6F02"/>
    <w:rsid w:val="006D3D58"/>
    <w:rsid w:val="006D7A80"/>
    <w:rsid w:val="006E07E6"/>
    <w:rsid w:val="006E3096"/>
    <w:rsid w:val="006E4E29"/>
    <w:rsid w:val="006F060E"/>
    <w:rsid w:val="006F1546"/>
    <w:rsid w:val="006F3074"/>
    <w:rsid w:val="006F34F1"/>
    <w:rsid w:val="006F3A99"/>
    <w:rsid w:val="006F3F24"/>
    <w:rsid w:val="006F50ED"/>
    <w:rsid w:val="006F75D6"/>
    <w:rsid w:val="006F7D3F"/>
    <w:rsid w:val="00703238"/>
    <w:rsid w:val="007107E6"/>
    <w:rsid w:val="00711954"/>
    <w:rsid w:val="00711EF2"/>
    <w:rsid w:val="00712074"/>
    <w:rsid w:val="007134E4"/>
    <w:rsid w:val="00713C10"/>
    <w:rsid w:val="007147B6"/>
    <w:rsid w:val="00714E6D"/>
    <w:rsid w:val="00724249"/>
    <w:rsid w:val="00724C59"/>
    <w:rsid w:val="00726458"/>
    <w:rsid w:val="00737202"/>
    <w:rsid w:val="00737DF5"/>
    <w:rsid w:val="0074008B"/>
    <w:rsid w:val="007441C1"/>
    <w:rsid w:val="00744208"/>
    <w:rsid w:val="00745C76"/>
    <w:rsid w:val="00750637"/>
    <w:rsid w:val="00750735"/>
    <w:rsid w:val="0075325B"/>
    <w:rsid w:val="007661F1"/>
    <w:rsid w:val="00766246"/>
    <w:rsid w:val="007671A8"/>
    <w:rsid w:val="00770251"/>
    <w:rsid w:val="00772270"/>
    <w:rsid w:val="00775D02"/>
    <w:rsid w:val="00780CD9"/>
    <w:rsid w:val="00780EE5"/>
    <w:rsid w:val="0078107D"/>
    <w:rsid w:val="00784113"/>
    <w:rsid w:val="00784445"/>
    <w:rsid w:val="00786E3E"/>
    <w:rsid w:val="00787C62"/>
    <w:rsid w:val="007907FC"/>
    <w:rsid w:val="007915FC"/>
    <w:rsid w:val="00791D9B"/>
    <w:rsid w:val="007923CB"/>
    <w:rsid w:val="00792C76"/>
    <w:rsid w:val="00793622"/>
    <w:rsid w:val="007952FA"/>
    <w:rsid w:val="007956AD"/>
    <w:rsid w:val="00795778"/>
    <w:rsid w:val="00795D82"/>
    <w:rsid w:val="007A0343"/>
    <w:rsid w:val="007A1A5D"/>
    <w:rsid w:val="007A2B79"/>
    <w:rsid w:val="007A5484"/>
    <w:rsid w:val="007B1355"/>
    <w:rsid w:val="007B1A27"/>
    <w:rsid w:val="007B40A0"/>
    <w:rsid w:val="007B5027"/>
    <w:rsid w:val="007B52B4"/>
    <w:rsid w:val="007B5422"/>
    <w:rsid w:val="007B690B"/>
    <w:rsid w:val="007C1FA5"/>
    <w:rsid w:val="007C2F4E"/>
    <w:rsid w:val="007C4619"/>
    <w:rsid w:val="007C4ACC"/>
    <w:rsid w:val="007C79A9"/>
    <w:rsid w:val="007D4FFD"/>
    <w:rsid w:val="007D52F2"/>
    <w:rsid w:val="007D6E3D"/>
    <w:rsid w:val="007E1AAB"/>
    <w:rsid w:val="007E1B8B"/>
    <w:rsid w:val="007E3A62"/>
    <w:rsid w:val="007E3A7E"/>
    <w:rsid w:val="007E557F"/>
    <w:rsid w:val="007E58D5"/>
    <w:rsid w:val="007E7053"/>
    <w:rsid w:val="007E76BD"/>
    <w:rsid w:val="007F15D7"/>
    <w:rsid w:val="007F1728"/>
    <w:rsid w:val="007F2B9F"/>
    <w:rsid w:val="007F3916"/>
    <w:rsid w:val="007F6C86"/>
    <w:rsid w:val="007F7155"/>
    <w:rsid w:val="0080179A"/>
    <w:rsid w:val="00801B98"/>
    <w:rsid w:val="00801BAA"/>
    <w:rsid w:val="00802E5C"/>
    <w:rsid w:val="00802EA0"/>
    <w:rsid w:val="008031B8"/>
    <w:rsid w:val="00803B8F"/>
    <w:rsid w:val="0081080A"/>
    <w:rsid w:val="00810EC5"/>
    <w:rsid w:val="008114E9"/>
    <w:rsid w:val="00812A82"/>
    <w:rsid w:val="00812C65"/>
    <w:rsid w:val="00812CBF"/>
    <w:rsid w:val="00815591"/>
    <w:rsid w:val="008155CE"/>
    <w:rsid w:val="00816964"/>
    <w:rsid w:val="00825AED"/>
    <w:rsid w:val="00830A90"/>
    <w:rsid w:val="00832FDD"/>
    <w:rsid w:val="008351D6"/>
    <w:rsid w:val="0083676D"/>
    <w:rsid w:val="0083700B"/>
    <w:rsid w:val="008374CB"/>
    <w:rsid w:val="008376C8"/>
    <w:rsid w:val="008379A6"/>
    <w:rsid w:val="008404B6"/>
    <w:rsid w:val="008436F1"/>
    <w:rsid w:val="0084593E"/>
    <w:rsid w:val="00845AE6"/>
    <w:rsid w:val="00845DF3"/>
    <w:rsid w:val="008501A0"/>
    <w:rsid w:val="00855081"/>
    <w:rsid w:val="00855394"/>
    <w:rsid w:val="008569D5"/>
    <w:rsid w:val="00862005"/>
    <w:rsid w:val="0086202E"/>
    <w:rsid w:val="0086213B"/>
    <w:rsid w:val="00862BAF"/>
    <w:rsid w:val="00863174"/>
    <w:rsid w:val="00863274"/>
    <w:rsid w:val="00865733"/>
    <w:rsid w:val="00865A9E"/>
    <w:rsid w:val="008663C4"/>
    <w:rsid w:val="0087167F"/>
    <w:rsid w:val="00873C44"/>
    <w:rsid w:val="00875254"/>
    <w:rsid w:val="00875A85"/>
    <w:rsid w:val="008814A0"/>
    <w:rsid w:val="008821BC"/>
    <w:rsid w:val="00882314"/>
    <w:rsid w:val="00887010"/>
    <w:rsid w:val="008879C3"/>
    <w:rsid w:val="00890A83"/>
    <w:rsid w:val="008923C8"/>
    <w:rsid w:val="00893BD3"/>
    <w:rsid w:val="008A0EF5"/>
    <w:rsid w:val="008A28B2"/>
    <w:rsid w:val="008A2C5A"/>
    <w:rsid w:val="008A3812"/>
    <w:rsid w:val="008A4E45"/>
    <w:rsid w:val="008A791D"/>
    <w:rsid w:val="008B34A3"/>
    <w:rsid w:val="008B498E"/>
    <w:rsid w:val="008B66AE"/>
    <w:rsid w:val="008C0DAB"/>
    <w:rsid w:val="008C3C83"/>
    <w:rsid w:val="008C4740"/>
    <w:rsid w:val="008C5D7C"/>
    <w:rsid w:val="008C783B"/>
    <w:rsid w:val="008D16D6"/>
    <w:rsid w:val="008D5687"/>
    <w:rsid w:val="008D6252"/>
    <w:rsid w:val="008D7941"/>
    <w:rsid w:val="008E23B0"/>
    <w:rsid w:val="008E4294"/>
    <w:rsid w:val="008E6A07"/>
    <w:rsid w:val="008F178B"/>
    <w:rsid w:val="008F1A22"/>
    <w:rsid w:val="008F2230"/>
    <w:rsid w:val="008F4FE1"/>
    <w:rsid w:val="00902D19"/>
    <w:rsid w:val="00905157"/>
    <w:rsid w:val="00905B07"/>
    <w:rsid w:val="00905D8F"/>
    <w:rsid w:val="0090637E"/>
    <w:rsid w:val="009079A9"/>
    <w:rsid w:val="009101FA"/>
    <w:rsid w:val="00910BB4"/>
    <w:rsid w:val="00910F4D"/>
    <w:rsid w:val="0091308B"/>
    <w:rsid w:val="0091651F"/>
    <w:rsid w:val="00916BFD"/>
    <w:rsid w:val="0092105F"/>
    <w:rsid w:val="00922E90"/>
    <w:rsid w:val="0092347B"/>
    <w:rsid w:val="00923A73"/>
    <w:rsid w:val="00924530"/>
    <w:rsid w:val="00930ACF"/>
    <w:rsid w:val="00930E7E"/>
    <w:rsid w:val="00932456"/>
    <w:rsid w:val="009336C8"/>
    <w:rsid w:val="00934426"/>
    <w:rsid w:val="00934DA5"/>
    <w:rsid w:val="00935472"/>
    <w:rsid w:val="009404E0"/>
    <w:rsid w:val="00944270"/>
    <w:rsid w:val="009442D1"/>
    <w:rsid w:val="009465C8"/>
    <w:rsid w:val="00947C45"/>
    <w:rsid w:val="009503B9"/>
    <w:rsid w:val="00957184"/>
    <w:rsid w:val="009638B3"/>
    <w:rsid w:val="0096487F"/>
    <w:rsid w:val="0096558C"/>
    <w:rsid w:val="00967C6B"/>
    <w:rsid w:val="009709E5"/>
    <w:rsid w:val="00970CBB"/>
    <w:rsid w:val="0097105A"/>
    <w:rsid w:val="00975AC2"/>
    <w:rsid w:val="00981521"/>
    <w:rsid w:val="009833F9"/>
    <w:rsid w:val="00983B4C"/>
    <w:rsid w:val="0098583E"/>
    <w:rsid w:val="00990473"/>
    <w:rsid w:val="00992406"/>
    <w:rsid w:val="009946E7"/>
    <w:rsid w:val="00994A34"/>
    <w:rsid w:val="00994BA3"/>
    <w:rsid w:val="00995736"/>
    <w:rsid w:val="00995F3C"/>
    <w:rsid w:val="00997328"/>
    <w:rsid w:val="00997473"/>
    <w:rsid w:val="009A0BD6"/>
    <w:rsid w:val="009A0F7B"/>
    <w:rsid w:val="009A1682"/>
    <w:rsid w:val="009A2134"/>
    <w:rsid w:val="009A5844"/>
    <w:rsid w:val="009B0249"/>
    <w:rsid w:val="009B2251"/>
    <w:rsid w:val="009B365C"/>
    <w:rsid w:val="009B5F11"/>
    <w:rsid w:val="009B6F2E"/>
    <w:rsid w:val="009B787C"/>
    <w:rsid w:val="009C1DC5"/>
    <w:rsid w:val="009C4079"/>
    <w:rsid w:val="009C6DF9"/>
    <w:rsid w:val="009D00EE"/>
    <w:rsid w:val="009D03C4"/>
    <w:rsid w:val="009D296B"/>
    <w:rsid w:val="009D5363"/>
    <w:rsid w:val="009D75CB"/>
    <w:rsid w:val="009E08FD"/>
    <w:rsid w:val="009E2D44"/>
    <w:rsid w:val="009E325B"/>
    <w:rsid w:val="009E43EA"/>
    <w:rsid w:val="009F3C3C"/>
    <w:rsid w:val="009F58FB"/>
    <w:rsid w:val="009F594C"/>
    <w:rsid w:val="009F5ADF"/>
    <w:rsid w:val="009F67C5"/>
    <w:rsid w:val="009F7E3F"/>
    <w:rsid w:val="00A01686"/>
    <w:rsid w:val="00A01F9F"/>
    <w:rsid w:val="00A031EE"/>
    <w:rsid w:val="00A04F6C"/>
    <w:rsid w:val="00A06514"/>
    <w:rsid w:val="00A1020E"/>
    <w:rsid w:val="00A130BD"/>
    <w:rsid w:val="00A13327"/>
    <w:rsid w:val="00A20C63"/>
    <w:rsid w:val="00A22074"/>
    <w:rsid w:val="00A234D6"/>
    <w:rsid w:val="00A302E3"/>
    <w:rsid w:val="00A30D79"/>
    <w:rsid w:val="00A31B70"/>
    <w:rsid w:val="00A31CCA"/>
    <w:rsid w:val="00A33765"/>
    <w:rsid w:val="00A338F0"/>
    <w:rsid w:val="00A35B1D"/>
    <w:rsid w:val="00A3617A"/>
    <w:rsid w:val="00A366F7"/>
    <w:rsid w:val="00A377DD"/>
    <w:rsid w:val="00A37E90"/>
    <w:rsid w:val="00A4031E"/>
    <w:rsid w:val="00A4136D"/>
    <w:rsid w:val="00A42CED"/>
    <w:rsid w:val="00A43B13"/>
    <w:rsid w:val="00A442DE"/>
    <w:rsid w:val="00A4472B"/>
    <w:rsid w:val="00A50321"/>
    <w:rsid w:val="00A50440"/>
    <w:rsid w:val="00A51A3A"/>
    <w:rsid w:val="00A529FD"/>
    <w:rsid w:val="00A56358"/>
    <w:rsid w:val="00A578A3"/>
    <w:rsid w:val="00A62F6D"/>
    <w:rsid w:val="00A63643"/>
    <w:rsid w:val="00A65F69"/>
    <w:rsid w:val="00A66EA9"/>
    <w:rsid w:val="00A67A07"/>
    <w:rsid w:val="00A73526"/>
    <w:rsid w:val="00A75DC4"/>
    <w:rsid w:val="00A76E53"/>
    <w:rsid w:val="00A7702F"/>
    <w:rsid w:val="00A81215"/>
    <w:rsid w:val="00A81C77"/>
    <w:rsid w:val="00A842C5"/>
    <w:rsid w:val="00A8563E"/>
    <w:rsid w:val="00A8658B"/>
    <w:rsid w:val="00A87E77"/>
    <w:rsid w:val="00A9183E"/>
    <w:rsid w:val="00A9437D"/>
    <w:rsid w:val="00A94BC3"/>
    <w:rsid w:val="00A96FC3"/>
    <w:rsid w:val="00A97448"/>
    <w:rsid w:val="00AA14BC"/>
    <w:rsid w:val="00AA1A34"/>
    <w:rsid w:val="00AA2382"/>
    <w:rsid w:val="00AA23A8"/>
    <w:rsid w:val="00AA53F4"/>
    <w:rsid w:val="00AA711F"/>
    <w:rsid w:val="00AA7E71"/>
    <w:rsid w:val="00AB129D"/>
    <w:rsid w:val="00AB4A11"/>
    <w:rsid w:val="00AB59F7"/>
    <w:rsid w:val="00AB7070"/>
    <w:rsid w:val="00AC0B8F"/>
    <w:rsid w:val="00AC192A"/>
    <w:rsid w:val="00AC389E"/>
    <w:rsid w:val="00AC39E0"/>
    <w:rsid w:val="00AC4096"/>
    <w:rsid w:val="00AC6F85"/>
    <w:rsid w:val="00AC7DA3"/>
    <w:rsid w:val="00AD06AB"/>
    <w:rsid w:val="00AD1248"/>
    <w:rsid w:val="00AD15FD"/>
    <w:rsid w:val="00AD365C"/>
    <w:rsid w:val="00AD6E65"/>
    <w:rsid w:val="00AE2068"/>
    <w:rsid w:val="00AE479C"/>
    <w:rsid w:val="00AE55A4"/>
    <w:rsid w:val="00AE592B"/>
    <w:rsid w:val="00AF059C"/>
    <w:rsid w:val="00AF0698"/>
    <w:rsid w:val="00AF1391"/>
    <w:rsid w:val="00AF1FFF"/>
    <w:rsid w:val="00AF21FE"/>
    <w:rsid w:val="00B01826"/>
    <w:rsid w:val="00B02A9D"/>
    <w:rsid w:val="00B05014"/>
    <w:rsid w:val="00B10025"/>
    <w:rsid w:val="00B118A8"/>
    <w:rsid w:val="00B12423"/>
    <w:rsid w:val="00B12458"/>
    <w:rsid w:val="00B140CD"/>
    <w:rsid w:val="00B151EB"/>
    <w:rsid w:val="00B211EE"/>
    <w:rsid w:val="00B23C1C"/>
    <w:rsid w:val="00B24ADC"/>
    <w:rsid w:val="00B31AFC"/>
    <w:rsid w:val="00B35CC6"/>
    <w:rsid w:val="00B366A7"/>
    <w:rsid w:val="00B43FB5"/>
    <w:rsid w:val="00B44D4D"/>
    <w:rsid w:val="00B46036"/>
    <w:rsid w:val="00B50843"/>
    <w:rsid w:val="00B50B62"/>
    <w:rsid w:val="00B51183"/>
    <w:rsid w:val="00B52300"/>
    <w:rsid w:val="00B53A75"/>
    <w:rsid w:val="00B543E4"/>
    <w:rsid w:val="00B56933"/>
    <w:rsid w:val="00B56DA2"/>
    <w:rsid w:val="00B60D35"/>
    <w:rsid w:val="00B6190E"/>
    <w:rsid w:val="00B62A4E"/>
    <w:rsid w:val="00B637F1"/>
    <w:rsid w:val="00B6584D"/>
    <w:rsid w:val="00B65B81"/>
    <w:rsid w:val="00B661B5"/>
    <w:rsid w:val="00B66255"/>
    <w:rsid w:val="00B67CBB"/>
    <w:rsid w:val="00B7029C"/>
    <w:rsid w:val="00B723C6"/>
    <w:rsid w:val="00B73E1F"/>
    <w:rsid w:val="00B75150"/>
    <w:rsid w:val="00B76C66"/>
    <w:rsid w:val="00B77D48"/>
    <w:rsid w:val="00B81858"/>
    <w:rsid w:val="00B81996"/>
    <w:rsid w:val="00B83894"/>
    <w:rsid w:val="00B840DE"/>
    <w:rsid w:val="00B87806"/>
    <w:rsid w:val="00B914B0"/>
    <w:rsid w:val="00B91CFE"/>
    <w:rsid w:val="00B976B1"/>
    <w:rsid w:val="00BA02CB"/>
    <w:rsid w:val="00BA151D"/>
    <w:rsid w:val="00BA4B5B"/>
    <w:rsid w:val="00BA4EE5"/>
    <w:rsid w:val="00BB15F6"/>
    <w:rsid w:val="00BB1A53"/>
    <w:rsid w:val="00BB389C"/>
    <w:rsid w:val="00BB4BD3"/>
    <w:rsid w:val="00BB4E76"/>
    <w:rsid w:val="00BB7EAA"/>
    <w:rsid w:val="00BC4501"/>
    <w:rsid w:val="00BC4841"/>
    <w:rsid w:val="00BC52BF"/>
    <w:rsid w:val="00BD0AF0"/>
    <w:rsid w:val="00BD1686"/>
    <w:rsid w:val="00BD4857"/>
    <w:rsid w:val="00BD4CB0"/>
    <w:rsid w:val="00BD5D49"/>
    <w:rsid w:val="00BE09A5"/>
    <w:rsid w:val="00BE1489"/>
    <w:rsid w:val="00BE2D1A"/>
    <w:rsid w:val="00BE3343"/>
    <w:rsid w:val="00BE3A1D"/>
    <w:rsid w:val="00BE4D53"/>
    <w:rsid w:val="00BE577A"/>
    <w:rsid w:val="00BF171F"/>
    <w:rsid w:val="00BF2D35"/>
    <w:rsid w:val="00BF48B5"/>
    <w:rsid w:val="00BF65F8"/>
    <w:rsid w:val="00C0080F"/>
    <w:rsid w:val="00C04E95"/>
    <w:rsid w:val="00C05FC6"/>
    <w:rsid w:val="00C066B3"/>
    <w:rsid w:val="00C107D5"/>
    <w:rsid w:val="00C12E53"/>
    <w:rsid w:val="00C1701C"/>
    <w:rsid w:val="00C1713D"/>
    <w:rsid w:val="00C17DD7"/>
    <w:rsid w:val="00C21300"/>
    <w:rsid w:val="00C240A6"/>
    <w:rsid w:val="00C26A0B"/>
    <w:rsid w:val="00C26C08"/>
    <w:rsid w:val="00C26D62"/>
    <w:rsid w:val="00C300FB"/>
    <w:rsid w:val="00C330CB"/>
    <w:rsid w:val="00C34546"/>
    <w:rsid w:val="00C35ACB"/>
    <w:rsid w:val="00C36ACE"/>
    <w:rsid w:val="00C41897"/>
    <w:rsid w:val="00C41F53"/>
    <w:rsid w:val="00C423BD"/>
    <w:rsid w:val="00C42F3B"/>
    <w:rsid w:val="00C44395"/>
    <w:rsid w:val="00C444E3"/>
    <w:rsid w:val="00C45B37"/>
    <w:rsid w:val="00C46548"/>
    <w:rsid w:val="00C46880"/>
    <w:rsid w:val="00C53219"/>
    <w:rsid w:val="00C54240"/>
    <w:rsid w:val="00C579AF"/>
    <w:rsid w:val="00C6025F"/>
    <w:rsid w:val="00C61BF7"/>
    <w:rsid w:val="00C6295A"/>
    <w:rsid w:val="00C6295E"/>
    <w:rsid w:val="00C65134"/>
    <w:rsid w:val="00C70016"/>
    <w:rsid w:val="00C703BE"/>
    <w:rsid w:val="00C73DB1"/>
    <w:rsid w:val="00C7581E"/>
    <w:rsid w:val="00C778AC"/>
    <w:rsid w:val="00C77D40"/>
    <w:rsid w:val="00C81D06"/>
    <w:rsid w:val="00C833D4"/>
    <w:rsid w:val="00C85688"/>
    <w:rsid w:val="00C86AC8"/>
    <w:rsid w:val="00C87347"/>
    <w:rsid w:val="00C906E3"/>
    <w:rsid w:val="00C92ACF"/>
    <w:rsid w:val="00C936B1"/>
    <w:rsid w:val="00C93B94"/>
    <w:rsid w:val="00C9447F"/>
    <w:rsid w:val="00C94FC4"/>
    <w:rsid w:val="00C9656F"/>
    <w:rsid w:val="00C968A6"/>
    <w:rsid w:val="00C968ED"/>
    <w:rsid w:val="00CA1B5F"/>
    <w:rsid w:val="00CA1FD2"/>
    <w:rsid w:val="00CA2CDE"/>
    <w:rsid w:val="00CA3A3F"/>
    <w:rsid w:val="00CA6ADA"/>
    <w:rsid w:val="00CB505A"/>
    <w:rsid w:val="00CC04A7"/>
    <w:rsid w:val="00CC0CE1"/>
    <w:rsid w:val="00CC1EB6"/>
    <w:rsid w:val="00CC2464"/>
    <w:rsid w:val="00CC3551"/>
    <w:rsid w:val="00CC3DFD"/>
    <w:rsid w:val="00CC6889"/>
    <w:rsid w:val="00CC7FA4"/>
    <w:rsid w:val="00CD17E2"/>
    <w:rsid w:val="00CD2BBC"/>
    <w:rsid w:val="00CE0E09"/>
    <w:rsid w:val="00CE17ED"/>
    <w:rsid w:val="00CE4860"/>
    <w:rsid w:val="00CE4ACF"/>
    <w:rsid w:val="00CE5454"/>
    <w:rsid w:val="00CF0E8D"/>
    <w:rsid w:val="00CF36ED"/>
    <w:rsid w:val="00CF5A6B"/>
    <w:rsid w:val="00CF6710"/>
    <w:rsid w:val="00CF68B6"/>
    <w:rsid w:val="00CF69EA"/>
    <w:rsid w:val="00CF76C3"/>
    <w:rsid w:val="00D00416"/>
    <w:rsid w:val="00D0179A"/>
    <w:rsid w:val="00D147A8"/>
    <w:rsid w:val="00D150F4"/>
    <w:rsid w:val="00D176DE"/>
    <w:rsid w:val="00D17C36"/>
    <w:rsid w:val="00D20F0F"/>
    <w:rsid w:val="00D2104C"/>
    <w:rsid w:val="00D2258D"/>
    <w:rsid w:val="00D25EDB"/>
    <w:rsid w:val="00D26FFB"/>
    <w:rsid w:val="00D275C8"/>
    <w:rsid w:val="00D337FA"/>
    <w:rsid w:val="00D34497"/>
    <w:rsid w:val="00D34671"/>
    <w:rsid w:val="00D34910"/>
    <w:rsid w:val="00D34EE7"/>
    <w:rsid w:val="00D3504A"/>
    <w:rsid w:val="00D36A79"/>
    <w:rsid w:val="00D37F02"/>
    <w:rsid w:val="00D41067"/>
    <w:rsid w:val="00D43B4E"/>
    <w:rsid w:val="00D45007"/>
    <w:rsid w:val="00D4553F"/>
    <w:rsid w:val="00D45584"/>
    <w:rsid w:val="00D5138A"/>
    <w:rsid w:val="00D52650"/>
    <w:rsid w:val="00D57E8C"/>
    <w:rsid w:val="00D605AA"/>
    <w:rsid w:val="00D64237"/>
    <w:rsid w:val="00D646CD"/>
    <w:rsid w:val="00D649AD"/>
    <w:rsid w:val="00D65D84"/>
    <w:rsid w:val="00D66D52"/>
    <w:rsid w:val="00D70B06"/>
    <w:rsid w:val="00D7357C"/>
    <w:rsid w:val="00D73875"/>
    <w:rsid w:val="00D7730B"/>
    <w:rsid w:val="00D8170D"/>
    <w:rsid w:val="00D86A68"/>
    <w:rsid w:val="00D93804"/>
    <w:rsid w:val="00D93AF4"/>
    <w:rsid w:val="00D95670"/>
    <w:rsid w:val="00D967C8"/>
    <w:rsid w:val="00D97703"/>
    <w:rsid w:val="00DA64D2"/>
    <w:rsid w:val="00DB2463"/>
    <w:rsid w:val="00DB3F75"/>
    <w:rsid w:val="00DB4ABB"/>
    <w:rsid w:val="00DB4B32"/>
    <w:rsid w:val="00DB4B9B"/>
    <w:rsid w:val="00DB5132"/>
    <w:rsid w:val="00DB7C8F"/>
    <w:rsid w:val="00DC228A"/>
    <w:rsid w:val="00DC2623"/>
    <w:rsid w:val="00DC3973"/>
    <w:rsid w:val="00DC4667"/>
    <w:rsid w:val="00DC5047"/>
    <w:rsid w:val="00DC508C"/>
    <w:rsid w:val="00DC58DC"/>
    <w:rsid w:val="00DD10DF"/>
    <w:rsid w:val="00DD2000"/>
    <w:rsid w:val="00DD306F"/>
    <w:rsid w:val="00DD35D2"/>
    <w:rsid w:val="00DD374C"/>
    <w:rsid w:val="00DD3754"/>
    <w:rsid w:val="00DD375E"/>
    <w:rsid w:val="00DD63D1"/>
    <w:rsid w:val="00DE1F4E"/>
    <w:rsid w:val="00DE3548"/>
    <w:rsid w:val="00DE58C2"/>
    <w:rsid w:val="00DE6E5C"/>
    <w:rsid w:val="00DE76ED"/>
    <w:rsid w:val="00DF0985"/>
    <w:rsid w:val="00DF2936"/>
    <w:rsid w:val="00DF3387"/>
    <w:rsid w:val="00DF3D36"/>
    <w:rsid w:val="00DF5CC9"/>
    <w:rsid w:val="00DF66B0"/>
    <w:rsid w:val="00E016AF"/>
    <w:rsid w:val="00E0637E"/>
    <w:rsid w:val="00E0718D"/>
    <w:rsid w:val="00E07BAE"/>
    <w:rsid w:val="00E1039D"/>
    <w:rsid w:val="00E104FC"/>
    <w:rsid w:val="00E106FE"/>
    <w:rsid w:val="00E11961"/>
    <w:rsid w:val="00E14858"/>
    <w:rsid w:val="00E15F44"/>
    <w:rsid w:val="00E15FA0"/>
    <w:rsid w:val="00E2541E"/>
    <w:rsid w:val="00E25521"/>
    <w:rsid w:val="00E305CE"/>
    <w:rsid w:val="00E30D14"/>
    <w:rsid w:val="00E30F63"/>
    <w:rsid w:val="00E3536B"/>
    <w:rsid w:val="00E3565C"/>
    <w:rsid w:val="00E360A2"/>
    <w:rsid w:val="00E36F1F"/>
    <w:rsid w:val="00E37E4D"/>
    <w:rsid w:val="00E40504"/>
    <w:rsid w:val="00E40875"/>
    <w:rsid w:val="00E40C4C"/>
    <w:rsid w:val="00E42133"/>
    <w:rsid w:val="00E478C3"/>
    <w:rsid w:val="00E53068"/>
    <w:rsid w:val="00E54805"/>
    <w:rsid w:val="00E609E0"/>
    <w:rsid w:val="00E61749"/>
    <w:rsid w:val="00E65CD8"/>
    <w:rsid w:val="00E6677A"/>
    <w:rsid w:val="00E66948"/>
    <w:rsid w:val="00E6746F"/>
    <w:rsid w:val="00E7025F"/>
    <w:rsid w:val="00E7027B"/>
    <w:rsid w:val="00E70875"/>
    <w:rsid w:val="00E70FDB"/>
    <w:rsid w:val="00E7140D"/>
    <w:rsid w:val="00E71D8E"/>
    <w:rsid w:val="00E7241B"/>
    <w:rsid w:val="00E72A6D"/>
    <w:rsid w:val="00E73871"/>
    <w:rsid w:val="00E73E5E"/>
    <w:rsid w:val="00E7476A"/>
    <w:rsid w:val="00E74964"/>
    <w:rsid w:val="00E75DF9"/>
    <w:rsid w:val="00E762AE"/>
    <w:rsid w:val="00E77EBF"/>
    <w:rsid w:val="00E80808"/>
    <w:rsid w:val="00E84371"/>
    <w:rsid w:val="00E84734"/>
    <w:rsid w:val="00E865C4"/>
    <w:rsid w:val="00E91118"/>
    <w:rsid w:val="00E91DD6"/>
    <w:rsid w:val="00E94199"/>
    <w:rsid w:val="00E94EBA"/>
    <w:rsid w:val="00E9625A"/>
    <w:rsid w:val="00E965BD"/>
    <w:rsid w:val="00E97609"/>
    <w:rsid w:val="00EA1AF1"/>
    <w:rsid w:val="00EA396F"/>
    <w:rsid w:val="00EA4E15"/>
    <w:rsid w:val="00EA5676"/>
    <w:rsid w:val="00EA62A5"/>
    <w:rsid w:val="00EA70E7"/>
    <w:rsid w:val="00EB5E75"/>
    <w:rsid w:val="00EC10E1"/>
    <w:rsid w:val="00EC2178"/>
    <w:rsid w:val="00EC4665"/>
    <w:rsid w:val="00ED36DE"/>
    <w:rsid w:val="00ED41D4"/>
    <w:rsid w:val="00EE1130"/>
    <w:rsid w:val="00EE5A65"/>
    <w:rsid w:val="00EF134F"/>
    <w:rsid w:val="00EF2E72"/>
    <w:rsid w:val="00EF685F"/>
    <w:rsid w:val="00F03A6A"/>
    <w:rsid w:val="00F04092"/>
    <w:rsid w:val="00F10E29"/>
    <w:rsid w:val="00F120C7"/>
    <w:rsid w:val="00F124D3"/>
    <w:rsid w:val="00F12546"/>
    <w:rsid w:val="00F13136"/>
    <w:rsid w:val="00F14709"/>
    <w:rsid w:val="00F1551B"/>
    <w:rsid w:val="00F202BB"/>
    <w:rsid w:val="00F212F3"/>
    <w:rsid w:val="00F21484"/>
    <w:rsid w:val="00F27A0A"/>
    <w:rsid w:val="00F27ABB"/>
    <w:rsid w:val="00F30D33"/>
    <w:rsid w:val="00F30D3A"/>
    <w:rsid w:val="00F3341C"/>
    <w:rsid w:val="00F33828"/>
    <w:rsid w:val="00F35315"/>
    <w:rsid w:val="00F401F1"/>
    <w:rsid w:val="00F43E1F"/>
    <w:rsid w:val="00F445B1"/>
    <w:rsid w:val="00F465EB"/>
    <w:rsid w:val="00F4682F"/>
    <w:rsid w:val="00F50D3A"/>
    <w:rsid w:val="00F51005"/>
    <w:rsid w:val="00F51BEE"/>
    <w:rsid w:val="00F52609"/>
    <w:rsid w:val="00F5449C"/>
    <w:rsid w:val="00F54545"/>
    <w:rsid w:val="00F63278"/>
    <w:rsid w:val="00F635C2"/>
    <w:rsid w:val="00F643D3"/>
    <w:rsid w:val="00F67672"/>
    <w:rsid w:val="00F70DB8"/>
    <w:rsid w:val="00F71731"/>
    <w:rsid w:val="00F744DE"/>
    <w:rsid w:val="00F74EA0"/>
    <w:rsid w:val="00F74FBE"/>
    <w:rsid w:val="00F75D21"/>
    <w:rsid w:val="00F76590"/>
    <w:rsid w:val="00F854BA"/>
    <w:rsid w:val="00F909CE"/>
    <w:rsid w:val="00F91B96"/>
    <w:rsid w:val="00F94DD9"/>
    <w:rsid w:val="00F97CF2"/>
    <w:rsid w:val="00FA148E"/>
    <w:rsid w:val="00FA3B4E"/>
    <w:rsid w:val="00FA735F"/>
    <w:rsid w:val="00FA7671"/>
    <w:rsid w:val="00FB1141"/>
    <w:rsid w:val="00FB2D13"/>
    <w:rsid w:val="00FB7DB6"/>
    <w:rsid w:val="00FC17B6"/>
    <w:rsid w:val="00FC18DC"/>
    <w:rsid w:val="00FC3168"/>
    <w:rsid w:val="00FC57CB"/>
    <w:rsid w:val="00FC79E8"/>
    <w:rsid w:val="00FD0457"/>
    <w:rsid w:val="00FD4758"/>
    <w:rsid w:val="00FD4E5F"/>
    <w:rsid w:val="00FD5988"/>
    <w:rsid w:val="00FD7F8B"/>
    <w:rsid w:val="00FE03A8"/>
    <w:rsid w:val="00FE0B19"/>
    <w:rsid w:val="00FE0F31"/>
    <w:rsid w:val="00FE4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73B2C"/>
  <w15:docId w15:val="{0960340C-0AE6-4344-B86F-FC5B4C457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F6C"/>
    <w:pPr>
      <w:spacing w:after="0" w:line="240" w:lineRule="atLeast"/>
    </w:pPr>
    <w:rPr>
      <w:sz w:val="20"/>
    </w:rPr>
  </w:style>
  <w:style w:type="paragraph" w:styleId="Kop1">
    <w:name w:val="heading 1"/>
    <w:basedOn w:val="Standaard"/>
    <w:next w:val="Standaard"/>
    <w:link w:val="Kop1Char"/>
    <w:uiPriority w:val="9"/>
    <w:qFormat/>
    <w:rsid w:val="004845C3"/>
    <w:pPr>
      <w:keepNext/>
      <w:keepLines/>
      <w:numPr>
        <w:numId w:val="2"/>
      </w:numPr>
      <w:spacing w:before="480"/>
      <w:outlineLvl w:val="0"/>
    </w:pPr>
    <w:rPr>
      <w:rFonts w:asciiTheme="majorHAnsi" w:eastAsiaTheme="majorEastAsia" w:hAnsiTheme="majorHAnsi" w:cstheme="majorBidi"/>
      <w:b/>
      <w:bCs/>
      <w:sz w:val="24"/>
      <w:szCs w:val="28"/>
    </w:rPr>
  </w:style>
  <w:style w:type="paragraph" w:styleId="Kop2">
    <w:name w:val="heading 2"/>
    <w:basedOn w:val="Standaard"/>
    <w:next w:val="Standaard"/>
    <w:link w:val="Kop2Char"/>
    <w:uiPriority w:val="9"/>
    <w:unhideWhenUsed/>
    <w:qFormat/>
    <w:rsid w:val="004845C3"/>
    <w:pPr>
      <w:keepNext/>
      <w:keepLines/>
      <w:numPr>
        <w:ilvl w:val="1"/>
        <w:numId w:val="2"/>
      </w:numPr>
      <w:spacing w:before="200"/>
      <w:ind w:left="576"/>
      <w:outlineLvl w:val="1"/>
    </w:pPr>
    <w:rPr>
      <w:rFonts w:asciiTheme="majorHAnsi" w:eastAsiaTheme="majorEastAsia" w:hAnsiTheme="majorHAnsi" w:cstheme="majorBidi"/>
      <w:b/>
      <w:bCs/>
      <w:szCs w:val="26"/>
    </w:rPr>
  </w:style>
  <w:style w:type="paragraph" w:styleId="Kop3">
    <w:name w:val="heading 3"/>
    <w:basedOn w:val="Standaard"/>
    <w:next w:val="Standaard"/>
    <w:link w:val="Kop3Char"/>
    <w:uiPriority w:val="9"/>
    <w:unhideWhenUsed/>
    <w:qFormat/>
    <w:rsid w:val="00B62A4E"/>
    <w:pPr>
      <w:keepNext/>
      <w:keepLines/>
      <w:numPr>
        <w:ilvl w:val="2"/>
        <w:numId w:val="2"/>
      </w:numPr>
      <w:spacing w:before="200"/>
      <w:outlineLvl w:val="2"/>
    </w:pPr>
    <w:rPr>
      <w:rFonts w:asciiTheme="majorHAnsi" w:eastAsiaTheme="majorEastAsia" w:hAnsiTheme="majorHAnsi" w:cstheme="majorBidi"/>
      <w:b/>
      <w:bCs/>
    </w:rPr>
  </w:style>
  <w:style w:type="paragraph" w:styleId="Kop4">
    <w:name w:val="heading 4"/>
    <w:basedOn w:val="Standaard"/>
    <w:next w:val="Standaard"/>
    <w:link w:val="Kop4Char"/>
    <w:uiPriority w:val="9"/>
    <w:semiHidden/>
    <w:unhideWhenUsed/>
    <w:qFormat/>
    <w:rsid w:val="004845C3"/>
    <w:pPr>
      <w:keepNext/>
      <w:keepLines/>
      <w:numPr>
        <w:ilvl w:val="3"/>
        <w:numId w:val="2"/>
      </w:numPr>
      <w:spacing w:before="200"/>
      <w:outlineLvl w:val="3"/>
    </w:pPr>
    <w:rPr>
      <w:rFonts w:asciiTheme="majorHAnsi" w:eastAsiaTheme="majorEastAsia" w:hAnsiTheme="majorHAnsi" w:cstheme="majorBidi"/>
      <w:b/>
      <w:bCs/>
      <w:i/>
      <w:iCs/>
      <w:color w:val="00AFD2" w:themeColor="accent1"/>
    </w:rPr>
  </w:style>
  <w:style w:type="paragraph" w:styleId="Kop5">
    <w:name w:val="heading 5"/>
    <w:basedOn w:val="Standaard"/>
    <w:next w:val="Standaard"/>
    <w:link w:val="Kop5Char"/>
    <w:uiPriority w:val="9"/>
    <w:semiHidden/>
    <w:unhideWhenUsed/>
    <w:qFormat/>
    <w:rsid w:val="004845C3"/>
    <w:pPr>
      <w:keepNext/>
      <w:keepLines/>
      <w:numPr>
        <w:ilvl w:val="4"/>
        <w:numId w:val="2"/>
      </w:numPr>
      <w:spacing w:before="200"/>
      <w:outlineLvl w:val="4"/>
    </w:pPr>
    <w:rPr>
      <w:rFonts w:asciiTheme="majorHAnsi" w:eastAsiaTheme="majorEastAsia" w:hAnsiTheme="majorHAnsi" w:cstheme="majorBidi"/>
      <w:color w:val="005668" w:themeColor="accent1" w:themeShade="7F"/>
    </w:rPr>
  </w:style>
  <w:style w:type="paragraph" w:styleId="Kop6">
    <w:name w:val="heading 6"/>
    <w:basedOn w:val="Standaard"/>
    <w:next w:val="Standaard"/>
    <w:link w:val="Kop6Char"/>
    <w:uiPriority w:val="9"/>
    <w:semiHidden/>
    <w:unhideWhenUsed/>
    <w:qFormat/>
    <w:rsid w:val="004845C3"/>
    <w:pPr>
      <w:keepNext/>
      <w:keepLines/>
      <w:numPr>
        <w:ilvl w:val="5"/>
        <w:numId w:val="2"/>
      </w:numPr>
      <w:spacing w:before="200"/>
      <w:outlineLvl w:val="5"/>
    </w:pPr>
    <w:rPr>
      <w:rFonts w:asciiTheme="majorHAnsi" w:eastAsiaTheme="majorEastAsia" w:hAnsiTheme="majorHAnsi" w:cstheme="majorBidi"/>
      <w:i/>
      <w:iCs/>
      <w:color w:val="005668" w:themeColor="accent1" w:themeShade="7F"/>
    </w:rPr>
  </w:style>
  <w:style w:type="paragraph" w:styleId="Kop7">
    <w:name w:val="heading 7"/>
    <w:basedOn w:val="Standaard"/>
    <w:next w:val="Standaard"/>
    <w:link w:val="Kop7Char"/>
    <w:uiPriority w:val="9"/>
    <w:semiHidden/>
    <w:unhideWhenUsed/>
    <w:qFormat/>
    <w:rsid w:val="004845C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4845C3"/>
    <w:pPr>
      <w:keepNext/>
      <w:keepLines/>
      <w:numPr>
        <w:ilvl w:val="7"/>
        <w:numId w:val="2"/>
      </w:numPr>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semiHidden/>
    <w:unhideWhenUsed/>
    <w:qFormat/>
    <w:rsid w:val="004845C3"/>
    <w:pPr>
      <w:keepNext/>
      <w:keepLines/>
      <w:numPr>
        <w:ilvl w:val="8"/>
        <w:numId w:val="2"/>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44D4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44D4B"/>
    <w:rPr>
      <w:rFonts w:ascii="Tahoma" w:hAnsi="Tahoma" w:cs="Tahoma"/>
      <w:sz w:val="16"/>
      <w:szCs w:val="16"/>
    </w:rPr>
  </w:style>
  <w:style w:type="paragraph" w:styleId="Koptekst">
    <w:name w:val="header"/>
    <w:basedOn w:val="Standaard"/>
    <w:link w:val="KoptekstChar"/>
    <w:uiPriority w:val="99"/>
    <w:unhideWhenUsed/>
    <w:rsid w:val="00044D4B"/>
    <w:pPr>
      <w:tabs>
        <w:tab w:val="center" w:pos="4680"/>
        <w:tab w:val="right" w:pos="9360"/>
      </w:tabs>
      <w:spacing w:line="240" w:lineRule="auto"/>
    </w:pPr>
  </w:style>
  <w:style w:type="character" w:customStyle="1" w:styleId="KoptekstChar">
    <w:name w:val="Koptekst Char"/>
    <w:basedOn w:val="Standaardalinea-lettertype"/>
    <w:link w:val="Koptekst"/>
    <w:uiPriority w:val="99"/>
    <w:rsid w:val="00044D4B"/>
  </w:style>
  <w:style w:type="paragraph" w:styleId="Voettekst">
    <w:name w:val="footer"/>
    <w:basedOn w:val="Standaard"/>
    <w:link w:val="VoettekstChar"/>
    <w:uiPriority w:val="99"/>
    <w:unhideWhenUsed/>
    <w:rsid w:val="00044D4B"/>
    <w:pPr>
      <w:tabs>
        <w:tab w:val="center" w:pos="4680"/>
        <w:tab w:val="right" w:pos="9360"/>
      </w:tabs>
      <w:spacing w:line="240" w:lineRule="auto"/>
    </w:pPr>
  </w:style>
  <w:style w:type="character" w:customStyle="1" w:styleId="VoettekstChar">
    <w:name w:val="Voettekst Char"/>
    <w:basedOn w:val="Standaardalinea-lettertype"/>
    <w:link w:val="Voettekst"/>
    <w:uiPriority w:val="99"/>
    <w:rsid w:val="00044D4B"/>
  </w:style>
  <w:style w:type="character" w:styleId="Tekstvantijdelijkeaanduiding">
    <w:name w:val="Placeholder Text"/>
    <w:basedOn w:val="Standaardalinea-lettertype"/>
    <w:uiPriority w:val="99"/>
    <w:semiHidden/>
    <w:rsid w:val="00A04F6C"/>
    <w:rPr>
      <w:color w:val="808080"/>
    </w:rPr>
  </w:style>
  <w:style w:type="table" w:styleId="Tabelraster">
    <w:name w:val="Table Grid"/>
    <w:basedOn w:val="Standaardtabel"/>
    <w:uiPriority w:val="59"/>
    <w:rsid w:val="00A04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4845C3"/>
    <w:rPr>
      <w:rFonts w:asciiTheme="majorHAnsi" w:eastAsiaTheme="majorEastAsia" w:hAnsiTheme="majorHAnsi" w:cstheme="majorBidi"/>
      <w:b/>
      <w:bCs/>
      <w:sz w:val="24"/>
      <w:szCs w:val="28"/>
    </w:rPr>
  </w:style>
  <w:style w:type="character" w:customStyle="1" w:styleId="Kop2Char">
    <w:name w:val="Kop 2 Char"/>
    <w:basedOn w:val="Standaardalinea-lettertype"/>
    <w:link w:val="Kop2"/>
    <w:uiPriority w:val="9"/>
    <w:rsid w:val="004845C3"/>
    <w:rPr>
      <w:rFonts w:asciiTheme="majorHAnsi" w:eastAsiaTheme="majorEastAsia" w:hAnsiTheme="majorHAnsi" w:cstheme="majorBidi"/>
      <w:b/>
      <w:bCs/>
      <w:sz w:val="20"/>
      <w:szCs w:val="26"/>
    </w:rPr>
  </w:style>
  <w:style w:type="paragraph" w:styleId="Lijstalinea">
    <w:name w:val="List Paragraph"/>
    <w:basedOn w:val="Standaard"/>
    <w:uiPriority w:val="34"/>
    <w:qFormat/>
    <w:rsid w:val="00193C7C"/>
    <w:pPr>
      <w:numPr>
        <w:numId w:val="1"/>
      </w:numPr>
      <w:spacing w:before="120" w:after="120"/>
      <w:contextualSpacing/>
    </w:pPr>
  </w:style>
  <w:style w:type="paragraph" w:styleId="Geenafstand">
    <w:name w:val="No Spacing"/>
    <w:link w:val="GeenafstandChar"/>
    <w:uiPriority w:val="1"/>
    <w:qFormat/>
    <w:rsid w:val="00A81C77"/>
    <w:pPr>
      <w:spacing w:after="0" w:line="240" w:lineRule="auto"/>
    </w:pPr>
    <w:rPr>
      <w:rFonts w:eastAsiaTheme="minorEastAsia"/>
    </w:rPr>
  </w:style>
  <w:style w:type="character" w:customStyle="1" w:styleId="GeenafstandChar">
    <w:name w:val="Geen afstand Char"/>
    <w:basedOn w:val="Standaardalinea-lettertype"/>
    <w:link w:val="Geenafstand"/>
    <w:uiPriority w:val="1"/>
    <w:rsid w:val="00A81C77"/>
    <w:rPr>
      <w:rFonts w:eastAsiaTheme="minorEastAsia"/>
    </w:rPr>
  </w:style>
  <w:style w:type="character" w:customStyle="1" w:styleId="Kop3Char">
    <w:name w:val="Kop 3 Char"/>
    <w:basedOn w:val="Standaardalinea-lettertype"/>
    <w:link w:val="Kop3"/>
    <w:uiPriority w:val="9"/>
    <w:rsid w:val="00B62A4E"/>
    <w:rPr>
      <w:rFonts w:asciiTheme="majorHAnsi" w:eastAsiaTheme="majorEastAsia" w:hAnsiTheme="majorHAnsi" w:cstheme="majorBidi"/>
      <w:b/>
      <w:bCs/>
      <w:sz w:val="20"/>
    </w:rPr>
  </w:style>
  <w:style w:type="character" w:customStyle="1" w:styleId="Kop4Char">
    <w:name w:val="Kop 4 Char"/>
    <w:basedOn w:val="Standaardalinea-lettertype"/>
    <w:link w:val="Kop4"/>
    <w:uiPriority w:val="9"/>
    <w:semiHidden/>
    <w:rsid w:val="004845C3"/>
    <w:rPr>
      <w:rFonts w:asciiTheme="majorHAnsi" w:eastAsiaTheme="majorEastAsia" w:hAnsiTheme="majorHAnsi" w:cstheme="majorBidi"/>
      <w:b/>
      <w:bCs/>
      <w:i/>
      <w:iCs/>
      <w:color w:val="00AFD2" w:themeColor="accent1"/>
      <w:sz w:val="20"/>
    </w:rPr>
  </w:style>
  <w:style w:type="character" w:customStyle="1" w:styleId="Kop5Char">
    <w:name w:val="Kop 5 Char"/>
    <w:basedOn w:val="Standaardalinea-lettertype"/>
    <w:link w:val="Kop5"/>
    <w:uiPriority w:val="9"/>
    <w:semiHidden/>
    <w:rsid w:val="004845C3"/>
    <w:rPr>
      <w:rFonts w:asciiTheme="majorHAnsi" w:eastAsiaTheme="majorEastAsia" w:hAnsiTheme="majorHAnsi" w:cstheme="majorBidi"/>
      <w:color w:val="005668" w:themeColor="accent1" w:themeShade="7F"/>
      <w:sz w:val="20"/>
    </w:rPr>
  </w:style>
  <w:style w:type="character" w:customStyle="1" w:styleId="Kop6Char">
    <w:name w:val="Kop 6 Char"/>
    <w:basedOn w:val="Standaardalinea-lettertype"/>
    <w:link w:val="Kop6"/>
    <w:uiPriority w:val="9"/>
    <w:semiHidden/>
    <w:rsid w:val="004845C3"/>
    <w:rPr>
      <w:rFonts w:asciiTheme="majorHAnsi" w:eastAsiaTheme="majorEastAsia" w:hAnsiTheme="majorHAnsi" w:cstheme="majorBidi"/>
      <w:i/>
      <w:iCs/>
      <w:color w:val="005668" w:themeColor="accent1" w:themeShade="7F"/>
      <w:sz w:val="20"/>
    </w:rPr>
  </w:style>
  <w:style w:type="character" w:customStyle="1" w:styleId="Kop7Char">
    <w:name w:val="Kop 7 Char"/>
    <w:basedOn w:val="Standaardalinea-lettertype"/>
    <w:link w:val="Kop7"/>
    <w:uiPriority w:val="9"/>
    <w:semiHidden/>
    <w:rsid w:val="004845C3"/>
    <w:rPr>
      <w:rFonts w:asciiTheme="majorHAnsi" w:eastAsiaTheme="majorEastAsia" w:hAnsiTheme="majorHAnsi" w:cstheme="majorBidi"/>
      <w:i/>
      <w:iCs/>
      <w:color w:val="404040" w:themeColor="text1" w:themeTint="BF"/>
      <w:sz w:val="20"/>
    </w:rPr>
  </w:style>
  <w:style w:type="character" w:customStyle="1" w:styleId="Kop8Char">
    <w:name w:val="Kop 8 Char"/>
    <w:basedOn w:val="Standaardalinea-lettertype"/>
    <w:link w:val="Kop8"/>
    <w:uiPriority w:val="9"/>
    <w:semiHidden/>
    <w:rsid w:val="004845C3"/>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4845C3"/>
    <w:rPr>
      <w:rFonts w:asciiTheme="majorHAnsi" w:eastAsiaTheme="majorEastAsia" w:hAnsiTheme="majorHAnsi" w:cstheme="majorBidi"/>
      <w:i/>
      <w:iCs/>
      <w:color w:val="404040" w:themeColor="text1" w:themeTint="BF"/>
      <w:sz w:val="20"/>
      <w:szCs w:val="20"/>
    </w:rPr>
  </w:style>
  <w:style w:type="paragraph" w:styleId="Kopvaninhoudsopgave">
    <w:name w:val="TOC Heading"/>
    <w:basedOn w:val="Kop1"/>
    <w:next w:val="Standaard"/>
    <w:uiPriority w:val="39"/>
    <w:semiHidden/>
    <w:unhideWhenUsed/>
    <w:qFormat/>
    <w:rsid w:val="00A9183E"/>
    <w:pPr>
      <w:numPr>
        <w:numId w:val="0"/>
      </w:numPr>
      <w:spacing w:line="276" w:lineRule="auto"/>
      <w:outlineLvl w:val="9"/>
    </w:pPr>
    <w:rPr>
      <w:color w:val="00829D" w:themeColor="accent1" w:themeShade="BF"/>
      <w:sz w:val="28"/>
    </w:rPr>
  </w:style>
  <w:style w:type="paragraph" w:styleId="Inhopg2">
    <w:name w:val="toc 2"/>
    <w:basedOn w:val="Standaard"/>
    <w:next w:val="Standaard"/>
    <w:autoRedefine/>
    <w:uiPriority w:val="39"/>
    <w:unhideWhenUsed/>
    <w:rsid w:val="00A9183E"/>
    <w:pPr>
      <w:spacing w:after="100"/>
      <w:ind w:left="200"/>
    </w:pPr>
  </w:style>
  <w:style w:type="paragraph" w:styleId="Inhopg1">
    <w:name w:val="toc 1"/>
    <w:basedOn w:val="Standaard"/>
    <w:next w:val="Standaard"/>
    <w:autoRedefine/>
    <w:uiPriority w:val="39"/>
    <w:unhideWhenUsed/>
    <w:rsid w:val="00932456"/>
    <w:pPr>
      <w:tabs>
        <w:tab w:val="right" w:leader="dot" w:pos="9061"/>
      </w:tabs>
      <w:spacing w:after="100"/>
      <w:ind w:left="284" w:hanging="284"/>
    </w:pPr>
    <w:rPr>
      <w:noProof/>
      <w:lang w:val="nl-NL"/>
    </w:rPr>
  </w:style>
  <w:style w:type="paragraph" w:styleId="Inhopg3">
    <w:name w:val="toc 3"/>
    <w:basedOn w:val="Standaard"/>
    <w:next w:val="Standaard"/>
    <w:autoRedefine/>
    <w:uiPriority w:val="39"/>
    <w:unhideWhenUsed/>
    <w:rsid w:val="00A9183E"/>
    <w:pPr>
      <w:spacing w:after="100"/>
      <w:ind w:left="400"/>
    </w:pPr>
  </w:style>
  <w:style w:type="character" w:styleId="Hyperlink">
    <w:name w:val="Hyperlink"/>
    <w:basedOn w:val="Standaardalinea-lettertype"/>
    <w:uiPriority w:val="99"/>
    <w:unhideWhenUsed/>
    <w:rsid w:val="00A9183E"/>
    <w:rPr>
      <w:color w:val="000000" w:themeColor="hyperlink"/>
      <w:u w:val="single"/>
    </w:rPr>
  </w:style>
  <w:style w:type="paragraph" w:styleId="Normaalweb">
    <w:name w:val="Normal (Web)"/>
    <w:basedOn w:val="Standaard"/>
    <w:uiPriority w:val="99"/>
    <w:unhideWhenUsed/>
    <w:rsid w:val="00BA4EE5"/>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Default">
    <w:name w:val="Default"/>
    <w:rsid w:val="008814A0"/>
    <w:pPr>
      <w:autoSpaceDE w:val="0"/>
      <w:autoSpaceDN w:val="0"/>
      <w:adjustRightInd w:val="0"/>
      <w:spacing w:after="0" w:line="240" w:lineRule="auto"/>
    </w:pPr>
    <w:rPr>
      <w:rFonts w:ascii="Century Gothic" w:eastAsia="Calibri" w:hAnsi="Century Gothic" w:cs="Century Gothic"/>
      <w:color w:val="000000"/>
      <w:sz w:val="24"/>
      <w:szCs w:val="24"/>
      <w:lang w:val="nl-NL"/>
    </w:rPr>
  </w:style>
  <w:style w:type="character" w:styleId="Verwijzingopmerking">
    <w:name w:val="annotation reference"/>
    <w:basedOn w:val="Standaardalinea-lettertype"/>
    <w:uiPriority w:val="99"/>
    <w:unhideWhenUsed/>
    <w:rsid w:val="00616AE2"/>
    <w:rPr>
      <w:sz w:val="16"/>
      <w:szCs w:val="16"/>
    </w:rPr>
  </w:style>
  <w:style w:type="paragraph" w:styleId="Tekstopmerking">
    <w:name w:val="annotation text"/>
    <w:basedOn w:val="Standaard"/>
    <w:link w:val="TekstopmerkingChar"/>
    <w:uiPriority w:val="99"/>
    <w:unhideWhenUsed/>
    <w:rsid w:val="00616AE2"/>
    <w:pPr>
      <w:spacing w:line="240" w:lineRule="auto"/>
    </w:pPr>
    <w:rPr>
      <w:szCs w:val="20"/>
    </w:rPr>
  </w:style>
  <w:style w:type="character" w:customStyle="1" w:styleId="TekstopmerkingChar">
    <w:name w:val="Tekst opmerking Char"/>
    <w:basedOn w:val="Standaardalinea-lettertype"/>
    <w:link w:val="Tekstopmerking"/>
    <w:uiPriority w:val="99"/>
    <w:rsid w:val="00616AE2"/>
    <w:rPr>
      <w:sz w:val="20"/>
      <w:szCs w:val="20"/>
    </w:rPr>
  </w:style>
  <w:style w:type="paragraph" w:styleId="Onderwerpvanopmerking">
    <w:name w:val="annotation subject"/>
    <w:basedOn w:val="Tekstopmerking"/>
    <w:next w:val="Tekstopmerking"/>
    <w:link w:val="OnderwerpvanopmerkingChar"/>
    <w:uiPriority w:val="99"/>
    <w:unhideWhenUsed/>
    <w:rsid w:val="00616AE2"/>
    <w:rPr>
      <w:b/>
      <w:bCs/>
    </w:rPr>
  </w:style>
  <w:style w:type="character" w:customStyle="1" w:styleId="OnderwerpvanopmerkingChar">
    <w:name w:val="Onderwerp van opmerking Char"/>
    <w:basedOn w:val="TekstopmerkingChar"/>
    <w:link w:val="Onderwerpvanopmerking"/>
    <w:uiPriority w:val="99"/>
    <w:rsid w:val="00616AE2"/>
    <w:rPr>
      <w:b/>
      <w:bCs/>
      <w:sz w:val="20"/>
      <w:szCs w:val="20"/>
    </w:rPr>
  </w:style>
  <w:style w:type="character" w:customStyle="1" w:styleId="s1">
    <w:name w:val="s1"/>
    <w:basedOn w:val="Standaardalinea-lettertype"/>
    <w:rsid w:val="00C85688"/>
  </w:style>
  <w:style w:type="character" w:customStyle="1" w:styleId="gmail-m6611998233250841740s1">
    <w:name w:val="gmail-m6611998233250841740s1"/>
    <w:basedOn w:val="Standaardalinea-lettertype"/>
    <w:rsid w:val="00C85688"/>
  </w:style>
  <w:style w:type="paragraph" w:styleId="Revisie">
    <w:name w:val="Revision"/>
    <w:hidden/>
    <w:uiPriority w:val="99"/>
    <w:semiHidden/>
    <w:rsid w:val="002C1AA0"/>
    <w:pPr>
      <w:spacing w:after="0" w:line="240" w:lineRule="auto"/>
    </w:pPr>
    <w:rPr>
      <w:sz w:val="20"/>
    </w:rPr>
  </w:style>
  <w:style w:type="table" w:customStyle="1" w:styleId="Kempen">
    <w:name w:val="Kempen"/>
    <w:basedOn w:val="Tabelraster"/>
    <w:rsid w:val="00EF134F"/>
    <w:rPr>
      <w:rFonts w:ascii="Proxima Nova A Cond Light" w:hAnsi="Proxima Nova A Cond Light"/>
      <w:sz w:val="17"/>
      <w:szCs w:val="20"/>
    </w:rPr>
    <w:tblPr>
      <w:tblInd w:w="0" w:type="nil"/>
      <w:tblBorders>
        <w:top w:val="single" w:sz="18" w:space="0" w:color="3257A4"/>
        <w:left w:val="none" w:sz="0" w:space="0" w:color="auto"/>
        <w:bottom w:val="single" w:sz="18" w:space="0" w:color="3257A4"/>
        <w:right w:val="none" w:sz="0" w:space="0" w:color="auto"/>
        <w:insideH w:val="dotted" w:sz="4" w:space="0" w:color="000000"/>
        <w:insideV w:val="none" w:sz="0" w:space="0" w:color="auto"/>
      </w:tblBorders>
      <w:tblCellMar>
        <w:top w:w="28" w:type="dxa"/>
        <w:left w:w="0" w:type="dxa"/>
        <w:bottom w:w="28" w:type="dxa"/>
        <w:right w:w="0" w:type="dxa"/>
      </w:tblCellMar>
    </w:tblPr>
  </w:style>
  <w:style w:type="character" w:styleId="Vermelding">
    <w:name w:val="Mention"/>
    <w:basedOn w:val="Standaardalinea-lettertype"/>
    <w:uiPriority w:val="99"/>
    <w:unhideWhenUsed/>
    <w:rsid w:val="00DE3548"/>
    <w:rPr>
      <w:color w:val="2B579A"/>
      <w:shd w:val="clear" w:color="auto" w:fill="E1DFDD"/>
    </w:rPr>
  </w:style>
  <w:style w:type="character" w:styleId="Onopgelostemelding">
    <w:name w:val="Unresolved Mention"/>
    <w:basedOn w:val="Standaardalinea-lettertype"/>
    <w:uiPriority w:val="99"/>
    <w:semiHidden/>
    <w:unhideWhenUsed/>
    <w:rsid w:val="00B12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13238">
      <w:bodyDiv w:val="1"/>
      <w:marLeft w:val="0"/>
      <w:marRight w:val="0"/>
      <w:marTop w:val="0"/>
      <w:marBottom w:val="0"/>
      <w:divBdr>
        <w:top w:val="none" w:sz="0" w:space="0" w:color="auto"/>
        <w:left w:val="none" w:sz="0" w:space="0" w:color="auto"/>
        <w:bottom w:val="none" w:sz="0" w:space="0" w:color="auto"/>
        <w:right w:val="none" w:sz="0" w:space="0" w:color="auto"/>
      </w:divBdr>
    </w:div>
    <w:div w:id="899023913">
      <w:bodyDiv w:val="1"/>
      <w:marLeft w:val="0"/>
      <w:marRight w:val="0"/>
      <w:marTop w:val="0"/>
      <w:marBottom w:val="0"/>
      <w:divBdr>
        <w:top w:val="none" w:sz="0" w:space="0" w:color="auto"/>
        <w:left w:val="none" w:sz="0" w:space="0" w:color="auto"/>
        <w:bottom w:val="none" w:sz="0" w:space="0" w:color="auto"/>
        <w:right w:val="none" w:sz="0" w:space="0" w:color="auto"/>
      </w:divBdr>
    </w:div>
    <w:div w:id="1080643425">
      <w:bodyDiv w:val="1"/>
      <w:marLeft w:val="0"/>
      <w:marRight w:val="0"/>
      <w:marTop w:val="0"/>
      <w:marBottom w:val="0"/>
      <w:divBdr>
        <w:top w:val="none" w:sz="0" w:space="0" w:color="auto"/>
        <w:left w:val="none" w:sz="0" w:space="0" w:color="auto"/>
        <w:bottom w:val="none" w:sz="0" w:space="0" w:color="auto"/>
        <w:right w:val="none" w:sz="0" w:space="0" w:color="auto"/>
      </w:divBdr>
    </w:div>
    <w:div w:id="1239247610">
      <w:bodyDiv w:val="1"/>
      <w:marLeft w:val="0"/>
      <w:marRight w:val="0"/>
      <w:marTop w:val="0"/>
      <w:marBottom w:val="0"/>
      <w:divBdr>
        <w:top w:val="none" w:sz="0" w:space="0" w:color="auto"/>
        <w:left w:val="none" w:sz="0" w:space="0" w:color="auto"/>
        <w:bottom w:val="none" w:sz="0" w:space="0" w:color="auto"/>
        <w:right w:val="none" w:sz="0" w:space="0" w:color="auto"/>
      </w:divBdr>
    </w:div>
    <w:div w:id="1242255278">
      <w:bodyDiv w:val="1"/>
      <w:marLeft w:val="0"/>
      <w:marRight w:val="0"/>
      <w:marTop w:val="0"/>
      <w:marBottom w:val="0"/>
      <w:divBdr>
        <w:top w:val="none" w:sz="0" w:space="0" w:color="auto"/>
        <w:left w:val="none" w:sz="0" w:space="0" w:color="auto"/>
        <w:bottom w:val="none" w:sz="0" w:space="0" w:color="auto"/>
        <w:right w:val="none" w:sz="0" w:space="0" w:color="auto"/>
      </w:divBdr>
    </w:div>
    <w:div w:id="1549730058">
      <w:bodyDiv w:val="1"/>
      <w:marLeft w:val="0"/>
      <w:marRight w:val="0"/>
      <w:marTop w:val="0"/>
      <w:marBottom w:val="0"/>
      <w:divBdr>
        <w:top w:val="none" w:sz="0" w:space="0" w:color="auto"/>
        <w:left w:val="none" w:sz="0" w:space="0" w:color="auto"/>
        <w:bottom w:val="none" w:sz="0" w:space="0" w:color="auto"/>
        <w:right w:val="none" w:sz="0" w:space="0" w:color="auto"/>
      </w:divBdr>
    </w:div>
    <w:div w:id="1705711200">
      <w:bodyDiv w:val="1"/>
      <w:marLeft w:val="0"/>
      <w:marRight w:val="0"/>
      <w:marTop w:val="0"/>
      <w:marBottom w:val="0"/>
      <w:divBdr>
        <w:top w:val="none" w:sz="0" w:space="0" w:color="auto"/>
        <w:left w:val="none" w:sz="0" w:space="0" w:color="auto"/>
        <w:bottom w:val="none" w:sz="0" w:space="0" w:color="auto"/>
        <w:right w:val="none" w:sz="0" w:space="0" w:color="auto"/>
      </w:divBdr>
    </w:div>
    <w:div w:id="1751081093">
      <w:bodyDiv w:val="1"/>
      <w:marLeft w:val="0"/>
      <w:marRight w:val="0"/>
      <w:marTop w:val="0"/>
      <w:marBottom w:val="0"/>
      <w:divBdr>
        <w:top w:val="none" w:sz="0" w:space="0" w:color="auto"/>
        <w:left w:val="none" w:sz="0" w:space="0" w:color="auto"/>
        <w:bottom w:val="none" w:sz="0" w:space="0" w:color="auto"/>
        <w:right w:val="none" w:sz="0" w:space="0" w:color="auto"/>
      </w:divBdr>
      <w:divsChild>
        <w:div w:id="1498224848">
          <w:marLeft w:val="1022"/>
          <w:marRight w:val="0"/>
          <w:marTop w:val="100"/>
          <w:marBottom w:val="0"/>
          <w:divBdr>
            <w:top w:val="none" w:sz="0" w:space="0" w:color="auto"/>
            <w:left w:val="none" w:sz="0" w:space="0" w:color="auto"/>
            <w:bottom w:val="none" w:sz="0" w:space="0" w:color="auto"/>
            <w:right w:val="none" w:sz="0" w:space="0" w:color="auto"/>
          </w:divBdr>
        </w:div>
      </w:divsChild>
    </w:div>
    <w:div w:id="1804276775">
      <w:bodyDiv w:val="1"/>
      <w:marLeft w:val="0"/>
      <w:marRight w:val="0"/>
      <w:marTop w:val="0"/>
      <w:marBottom w:val="0"/>
      <w:divBdr>
        <w:top w:val="none" w:sz="0" w:space="0" w:color="auto"/>
        <w:left w:val="none" w:sz="0" w:space="0" w:color="auto"/>
        <w:bottom w:val="none" w:sz="0" w:space="0" w:color="auto"/>
        <w:right w:val="none" w:sz="0" w:space="0" w:color="auto"/>
      </w:divBdr>
    </w:div>
    <w:div w:id="1910533133">
      <w:bodyDiv w:val="1"/>
      <w:marLeft w:val="0"/>
      <w:marRight w:val="0"/>
      <w:marTop w:val="0"/>
      <w:marBottom w:val="0"/>
      <w:divBdr>
        <w:top w:val="none" w:sz="0" w:space="0" w:color="auto"/>
        <w:left w:val="none" w:sz="0" w:space="0" w:color="auto"/>
        <w:bottom w:val="none" w:sz="0" w:space="0" w:color="auto"/>
        <w:right w:val="none" w:sz="0" w:space="0" w:color="auto"/>
      </w:divBdr>
    </w:div>
    <w:div w:id="212561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2430E40B93412A9F747F953CE9C5D6"/>
        <w:category>
          <w:name w:val="General"/>
          <w:gallery w:val="placeholder"/>
        </w:category>
        <w:types>
          <w:type w:val="bbPlcHdr"/>
        </w:types>
        <w:behaviors>
          <w:behavior w:val="content"/>
        </w:behaviors>
        <w:guid w:val="{F34EFEF0-AD29-4246-B72C-3E438341998D}"/>
      </w:docPartPr>
      <w:docPartBody>
        <w:p w:rsidR="00D1365D" w:rsidRDefault="00D1365D">
          <w:pPr>
            <w:pStyle w:val="9F2430E40B93412A9F747F953CE9C5D6"/>
          </w:pPr>
          <w:r w:rsidRPr="00BE25EF">
            <w:rPr>
              <w:rStyle w:val="Tekstvantijdelijkeaanduiding"/>
            </w:rPr>
            <w:t>[Titel]</w:t>
          </w:r>
        </w:p>
      </w:docPartBody>
    </w:docPart>
    <w:docPart>
      <w:docPartPr>
        <w:name w:val="01E07A3893F44F8E807A08932CE92634"/>
        <w:category>
          <w:name w:val="General"/>
          <w:gallery w:val="placeholder"/>
        </w:category>
        <w:types>
          <w:type w:val="bbPlcHdr"/>
        </w:types>
        <w:behaviors>
          <w:behavior w:val="content"/>
        </w:behaviors>
        <w:guid w:val="{CF6A9088-7B1E-4D68-9342-D7D327823F93}"/>
      </w:docPartPr>
      <w:docPartBody>
        <w:p w:rsidR="00D1365D" w:rsidRDefault="00D1365D">
          <w:pPr>
            <w:pStyle w:val="01E07A3893F44F8E807A08932CE92634"/>
          </w:pPr>
          <w:r w:rsidRPr="00BE25EF">
            <w:rPr>
              <w:rStyle w:val="Tekstvantijdelijkeaanduiding"/>
            </w:rPr>
            <w:t>[Publicatiedatum]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emlettertype regulier">
    <w:altName w:val="Cambria"/>
    <w:panose1 w:val="00000000000000000000"/>
    <w:charset w:val="00"/>
    <w:family w:val="roman"/>
    <w:notTrueType/>
    <w:pitch w:val="default"/>
  </w:font>
  <w:font w:name="Frutiger LT Pro 45 Light">
    <w:altName w:val="Arial"/>
    <w:panose1 w:val="00000000000000000000"/>
    <w:charset w:val="00"/>
    <w:family w:val="roman"/>
    <w:notTrueType/>
    <w:pitch w:val="default"/>
  </w:font>
  <w:font w:name="Frutiger Light">
    <w:panose1 w:val="020B0302020104020203"/>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Proxima Nova A Cond Light">
    <w:altName w:val="Tahoma"/>
    <w:charset w:val="00"/>
    <w:family w:val="auto"/>
    <w:pitch w:val="variable"/>
    <w:sig w:usb0="20000287" w:usb1="00000001" w:usb2="00000000" w:usb3="00000000" w:csb0="0000019F" w:csb1="00000000"/>
  </w:font>
  <w:font w:name="FrutigerLTStd">
    <w:altName w:val="Cambria"/>
    <w:charset w:val="00"/>
    <w:family w:val="roman"/>
    <w:pitch w:val="default"/>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365D"/>
    <w:rsid w:val="00003B30"/>
    <w:rsid w:val="00083872"/>
    <w:rsid w:val="00097A38"/>
    <w:rsid w:val="000B6DD9"/>
    <w:rsid w:val="000D2FF5"/>
    <w:rsid w:val="00104335"/>
    <w:rsid w:val="00143FBD"/>
    <w:rsid w:val="00170126"/>
    <w:rsid w:val="001A3F63"/>
    <w:rsid w:val="001A4975"/>
    <w:rsid w:val="001B28C5"/>
    <w:rsid w:val="001B3FA4"/>
    <w:rsid w:val="00251480"/>
    <w:rsid w:val="002E3118"/>
    <w:rsid w:val="002F2C6E"/>
    <w:rsid w:val="002F6E16"/>
    <w:rsid w:val="0030785B"/>
    <w:rsid w:val="00307D65"/>
    <w:rsid w:val="00314274"/>
    <w:rsid w:val="00335C91"/>
    <w:rsid w:val="00347B7B"/>
    <w:rsid w:val="003A39CF"/>
    <w:rsid w:val="003B49BA"/>
    <w:rsid w:val="003E60BC"/>
    <w:rsid w:val="003E7D11"/>
    <w:rsid w:val="003F4E7E"/>
    <w:rsid w:val="004067E3"/>
    <w:rsid w:val="004311BB"/>
    <w:rsid w:val="00453D2E"/>
    <w:rsid w:val="00464368"/>
    <w:rsid w:val="00495F71"/>
    <w:rsid w:val="004A2B05"/>
    <w:rsid w:val="004A6F9C"/>
    <w:rsid w:val="004C11E1"/>
    <w:rsid w:val="004E1E40"/>
    <w:rsid w:val="004F3BFA"/>
    <w:rsid w:val="00553584"/>
    <w:rsid w:val="00596C5F"/>
    <w:rsid w:val="005A16A0"/>
    <w:rsid w:val="00603C0A"/>
    <w:rsid w:val="00620470"/>
    <w:rsid w:val="00642940"/>
    <w:rsid w:val="00652FBE"/>
    <w:rsid w:val="006777A9"/>
    <w:rsid w:val="006F3519"/>
    <w:rsid w:val="00702306"/>
    <w:rsid w:val="00726B64"/>
    <w:rsid w:val="00794D4C"/>
    <w:rsid w:val="007976D5"/>
    <w:rsid w:val="007A3B75"/>
    <w:rsid w:val="007E6F48"/>
    <w:rsid w:val="007F6CC3"/>
    <w:rsid w:val="008108B5"/>
    <w:rsid w:val="00815591"/>
    <w:rsid w:val="00840B95"/>
    <w:rsid w:val="00851139"/>
    <w:rsid w:val="00875254"/>
    <w:rsid w:val="00881864"/>
    <w:rsid w:val="008833A5"/>
    <w:rsid w:val="008A77C8"/>
    <w:rsid w:val="008D2730"/>
    <w:rsid w:val="0094380E"/>
    <w:rsid w:val="0098753C"/>
    <w:rsid w:val="009C5111"/>
    <w:rsid w:val="009C63D1"/>
    <w:rsid w:val="009C6FF2"/>
    <w:rsid w:val="009C7CA5"/>
    <w:rsid w:val="00A00502"/>
    <w:rsid w:val="00A53746"/>
    <w:rsid w:val="00A62D04"/>
    <w:rsid w:val="00AA69EF"/>
    <w:rsid w:val="00AB574A"/>
    <w:rsid w:val="00AC04D4"/>
    <w:rsid w:val="00AC1771"/>
    <w:rsid w:val="00AE7C00"/>
    <w:rsid w:val="00B726CE"/>
    <w:rsid w:val="00B77D48"/>
    <w:rsid w:val="00BA186F"/>
    <w:rsid w:val="00BA1A3D"/>
    <w:rsid w:val="00BA32D3"/>
    <w:rsid w:val="00C11534"/>
    <w:rsid w:val="00C11679"/>
    <w:rsid w:val="00C33C6C"/>
    <w:rsid w:val="00CB5F0C"/>
    <w:rsid w:val="00CD2E60"/>
    <w:rsid w:val="00CE0B0A"/>
    <w:rsid w:val="00CF2AAA"/>
    <w:rsid w:val="00D1365D"/>
    <w:rsid w:val="00D2104C"/>
    <w:rsid w:val="00D24408"/>
    <w:rsid w:val="00D25878"/>
    <w:rsid w:val="00D373DC"/>
    <w:rsid w:val="00D57A30"/>
    <w:rsid w:val="00D65272"/>
    <w:rsid w:val="00D66D52"/>
    <w:rsid w:val="00D8300E"/>
    <w:rsid w:val="00DA19EE"/>
    <w:rsid w:val="00E36B97"/>
    <w:rsid w:val="00E72A6D"/>
    <w:rsid w:val="00EA38EC"/>
    <w:rsid w:val="00EC388F"/>
    <w:rsid w:val="00EE55A6"/>
    <w:rsid w:val="00EF6EB0"/>
    <w:rsid w:val="00F34824"/>
    <w:rsid w:val="00F513DC"/>
    <w:rsid w:val="00F608D4"/>
    <w:rsid w:val="00F643D3"/>
    <w:rsid w:val="00FA12AD"/>
    <w:rsid w:val="00FA7014"/>
    <w:rsid w:val="00FB761A"/>
    <w:rsid w:val="00FC0DF5"/>
    <w:rsid w:val="00FC69D0"/>
    <w:rsid w:val="00FD4E5F"/>
    <w:rsid w:val="00FD72D3"/>
    <w:rsid w:val="00FF2D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64368"/>
    <w:rPr>
      <w:color w:val="808080"/>
    </w:rPr>
  </w:style>
  <w:style w:type="paragraph" w:customStyle="1" w:styleId="9F2430E40B93412A9F747F953CE9C5D6">
    <w:name w:val="9F2430E40B93412A9F747F953CE9C5D6"/>
  </w:style>
  <w:style w:type="paragraph" w:customStyle="1" w:styleId="01E07A3893F44F8E807A08932CE92634">
    <w:name w:val="01E07A3893F44F8E807A08932CE92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ING CDC">
      <a:dk1>
        <a:sysClr val="windowText" lastClr="000000"/>
      </a:dk1>
      <a:lt1>
        <a:sysClr val="window" lastClr="FFFFFF"/>
      </a:lt1>
      <a:dk2>
        <a:srgbClr val="FF7346"/>
      </a:dk2>
      <a:lt2>
        <a:srgbClr val="FFFFFF"/>
      </a:lt2>
      <a:accent1>
        <a:srgbClr val="00AFD2"/>
      </a:accent1>
      <a:accent2>
        <a:srgbClr val="FF7346"/>
      </a:accent2>
      <a:accent3>
        <a:srgbClr val="4C4C4C"/>
      </a:accent3>
      <a:accent4>
        <a:srgbClr val="FF7346"/>
      </a:accent4>
      <a:accent5>
        <a:srgbClr val="00AFD2"/>
      </a:accent5>
      <a:accent6>
        <a:srgbClr val="FF7346"/>
      </a:accent6>
      <a:hlink>
        <a:srgbClr val="000000"/>
      </a:hlink>
      <a:folHlink>
        <a:srgbClr val="4C4C4C"/>
      </a:folHlink>
    </a:clrScheme>
    <a:fontScheme name="CDC">
      <a:majorFont>
        <a:latin typeface="Frutiger LT Pro 45 Light"/>
        <a:ea typeface=""/>
        <a:cs typeface=""/>
      </a:majorFont>
      <a:minorFont>
        <a:latin typeface="Frutiger LT Pro 45 Light"/>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2026-05-20T00:00:00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8ee3ef-3e8c-48aa-a686-f9b1d2400b3a">
      <Terms xmlns="http://schemas.microsoft.com/office/infopath/2007/PartnerControls"/>
    </lcf76f155ced4ddcb4097134ff3c332f>
    <TaxCatchAll xmlns="a3be7acf-24c2-4ffe-b711-14ba61472789"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1F9508BF2EC12439E501A868BDB2E1C" ma:contentTypeVersion="17" ma:contentTypeDescription="Een nieuw document maken." ma:contentTypeScope="" ma:versionID="f22cd4627e323637400bd2d67d4ca9aa">
  <xsd:schema xmlns:xsd="http://www.w3.org/2001/XMLSchema" xmlns:xs="http://www.w3.org/2001/XMLSchema" xmlns:p="http://schemas.microsoft.com/office/2006/metadata/properties" xmlns:ns1="http://schemas.microsoft.com/sharepoint/v3" xmlns:ns2="2a8ee3ef-3e8c-48aa-a686-f9b1d2400b3a" xmlns:ns3="a3be7acf-24c2-4ffe-b711-14ba61472789" targetNamespace="http://schemas.microsoft.com/office/2006/metadata/properties" ma:root="true" ma:fieldsID="2505f4b625d9e606cbbd19972ad77c67" ns1:_="" ns2:_="" ns3:_="">
    <xsd:import namespace="http://schemas.microsoft.com/sharepoint/v3"/>
    <xsd:import namespace="2a8ee3ef-3e8c-48aa-a686-f9b1d2400b3a"/>
    <xsd:import namespace="a3be7acf-24c2-4ffe-b711-14ba614727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Eigenschappen van het geïntegreerd beleid voor naleving" ma:hidden="true" ma:internalName="_ip_UnifiedCompliancePolicyProperties">
      <xsd:simpleType>
        <xsd:restriction base="dms:Note"/>
      </xsd:simpleType>
    </xsd:element>
    <xsd:element name="_ip_UnifiedCompliancePolicyUIAction" ma:index="24"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8ee3ef-3e8c-48aa-a686-f9b1d2400b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a1dba96-c252-421a-8d24-58690b45a7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be7acf-24c2-4ffe-b711-14ba614727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b3e1d6-ef2d-4b53-93f6-f471364b66b7}" ma:internalName="TaxCatchAll" ma:showField="CatchAllData" ma:web="a3be7acf-24c2-4ffe-b711-14ba6147278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5FD19E-1211-4295-A044-2C392E6AFC9F}">
  <ds:schemaRefs>
    <ds:schemaRef ds:uri="http://schemas.microsoft.com/office/2006/metadata/properties"/>
    <ds:schemaRef ds:uri="http://schemas.microsoft.com/office/infopath/2007/PartnerControls"/>
    <ds:schemaRef ds:uri="2a8ee3ef-3e8c-48aa-a686-f9b1d2400b3a"/>
    <ds:schemaRef ds:uri="a3be7acf-24c2-4ffe-b711-14ba61472789"/>
    <ds:schemaRef ds:uri="http://schemas.microsoft.com/sharepoint/v3"/>
  </ds:schemaRefs>
</ds:datastoreItem>
</file>

<file path=customXml/itemProps3.xml><?xml version="1.0" encoding="utf-8"?>
<ds:datastoreItem xmlns:ds="http://schemas.openxmlformats.org/officeDocument/2006/customXml" ds:itemID="{7341FF11-FA08-4796-A632-5AC61F268479}">
  <ds:schemaRefs>
    <ds:schemaRef ds:uri="http://schemas.openxmlformats.org/officeDocument/2006/bibliography"/>
  </ds:schemaRefs>
</ds:datastoreItem>
</file>

<file path=customXml/itemProps4.xml><?xml version="1.0" encoding="utf-8"?>
<ds:datastoreItem xmlns:ds="http://schemas.openxmlformats.org/officeDocument/2006/customXml" ds:itemID="{27FFD02C-570B-46ED-98BE-873CF50D9378}">
  <ds:schemaRefs>
    <ds:schemaRef ds:uri="http://schemas.microsoft.com/sharepoint/v3/contenttype/forms"/>
  </ds:schemaRefs>
</ds:datastoreItem>
</file>

<file path=customXml/itemProps5.xml><?xml version="1.0" encoding="utf-8"?>
<ds:datastoreItem xmlns:ds="http://schemas.openxmlformats.org/officeDocument/2006/customXml" ds:itemID="{4572BF72-22A3-4551-9DEE-34D1FA47FB0B}"/>
</file>

<file path=docMetadata/LabelInfo.xml><?xml version="1.0" encoding="utf-8"?>
<clbl:labelList xmlns:clbl="http://schemas.microsoft.com/office/2020/mipLabelMetadata">
  <clbl:label id="{587b6ea1-3db9-4fe1-a9d7-85d4c64ce5cc}" enabled="0" method="" siteId="{587b6ea1-3db9-4fe1-a9d7-85d4c64ce5cc}" removed="1"/>
</clbl:labelList>
</file>

<file path=docProps/app.xml><?xml version="1.0" encoding="utf-8"?>
<Properties xmlns="http://schemas.openxmlformats.org/officeDocument/2006/extended-properties" xmlns:vt="http://schemas.openxmlformats.org/officeDocument/2006/docPropsVTypes">
  <Template>Normal</Template>
  <TotalTime>17</TotalTime>
  <Pages>63</Pages>
  <Words>23976</Words>
  <Characters>131873</Characters>
  <Application>Microsoft Office Word</Application>
  <DocSecurity>0</DocSecurity>
  <Lines>1098</Lines>
  <Paragraphs>311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ABTN Stichting ING CDC Pensioenfonds</vt:lpstr>
      <vt:lpstr>ABTN Stichting ING CDC Pensioenfonds</vt:lpstr>
    </vt:vector>
  </TitlesOfParts>
  <Company>ING</Company>
  <LinksUpToDate>false</LinksUpToDate>
  <CharactersWithSpaces>155538</CharactersWithSpaces>
  <SharedDoc>false</SharedDoc>
  <HLinks>
    <vt:vector size="336" baseType="variant">
      <vt:variant>
        <vt:i4>1703986</vt:i4>
      </vt:variant>
      <vt:variant>
        <vt:i4>332</vt:i4>
      </vt:variant>
      <vt:variant>
        <vt:i4>0</vt:i4>
      </vt:variant>
      <vt:variant>
        <vt:i4>5</vt:i4>
      </vt:variant>
      <vt:variant>
        <vt:lpwstr/>
      </vt:variant>
      <vt:variant>
        <vt:lpwstr>_Toc225845124</vt:lpwstr>
      </vt:variant>
      <vt:variant>
        <vt:i4>1703986</vt:i4>
      </vt:variant>
      <vt:variant>
        <vt:i4>326</vt:i4>
      </vt:variant>
      <vt:variant>
        <vt:i4>0</vt:i4>
      </vt:variant>
      <vt:variant>
        <vt:i4>5</vt:i4>
      </vt:variant>
      <vt:variant>
        <vt:lpwstr/>
      </vt:variant>
      <vt:variant>
        <vt:lpwstr>_Toc225845123</vt:lpwstr>
      </vt:variant>
      <vt:variant>
        <vt:i4>1703986</vt:i4>
      </vt:variant>
      <vt:variant>
        <vt:i4>320</vt:i4>
      </vt:variant>
      <vt:variant>
        <vt:i4>0</vt:i4>
      </vt:variant>
      <vt:variant>
        <vt:i4>5</vt:i4>
      </vt:variant>
      <vt:variant>
        <vt:lpwstr/>
      </vt:variant>
      <vt:variant>
        <vt:lpwstr>_Toc225845122</vt:lpwstr>
      </vt:variant>
      <vt:variant>
        <vt:i4>1703986</vt:i4>
      </vt:variant>
      <vt:variant>
        <vt:i4>314</vt:i4>
      </vt:variant>
      <vt:variant>
        <vt:i4>0</vt:i4>
      </vt:variant>
      <vt:variant>
        <vt:i4>5</vt:i4>
      </vt:variant>
      <vt:variant>
        <vt:lpwstr/>
      </vt:variant>
      <vt:variant>
        <vt:lpwstr>_Toc225845121</vt:lpwstr>
      </vt:variant>
      <vt:variant>
        <vt:i4>1703986</vt:i4>
      </vt:variant>
      <vt:variant>
        <vt:i4>308</vt:i4>
      </vt:variant>
      <vt:variant>
        <vt:i4>0</vt:i4>
      </vt:variant>
      <vt:variant>
        <vt:i4>5</vt:i4>
      </vt:variant>
      <vt:variant>
        <vt:lpwstr/>
      </vt:variant>
      <vt:variant>
        <vt:lpwstr>_Toc225845120</vt:lpwstr>
      </vt:variant>
      <vt:variant>
        <vt:i4>1638450</vt:i4>
      </vt:variant>
      <vt:variant>
        <vt:i4>302</vt:i4>
      </vt:variant>
      <vt:variant>
        <vt:i4>0</vt:i4>
      </vt:variant>
      <vt:variant>
        <vt:i4>5</vt:i4>
      </vt:variant>
      <vt:variant>
        <vt:lpwstr/>
      </vt:variant>
      <vt:variant>
        <vt:lpwstr>_Toc225845119</vt:lpwstr>
      </vt:variant>
      <vt:variant>
        <vt:i4>1638450</vt:i4>
      </vt:variant>
      <vt:variant>
        <vt:i4>296</vt:i4>
      </vt:variant>
      <vt:variant>
        <vt:i4>0</vt:i4>
      </vt:variant>
      <vt:variant>
        <vt:i4>5</vt:i4>
      </vt:variant>
      <vt:variant>
        <vt:lpwstr/>
      </vt:variant>
      <vt:variant>
        <vt:lpwstr>_Toc225845118</vt:lpwstr>
      </vt:variant>
      <vt:variant>
        <vt:i4>1638450</vt:i4>
      </vt:variant>
      <vt:variant>
        <vt:i4>290</vt:i4>
      </vt:variant>
      <vt:variant>
        <vt:i4>0</vt:i4>
      </vt:variant>
      <vt:variant>
        <vt:i4>5</vt:i4>
      </vt:variant>
      <vt:variant>
        <vt:lpwstr/>
      </vt:variant>
      <vt:variant>
        <vt:lpwstr>_Toc225845117</vt:lpwstr>
      </vt:variant>
      <vt:variant>
        <vt:i4>1638450</vt:i4>
      </vt:variant>
      <vt:variant>
        <vt:i4>284</vt:i4>
      </vt:variant>
      <vt:variant>
        <vt:i4>0</vt:i4>
      </vt:variant>
      <vt:variant>
        <vt:i4>5</vt:i4>
      </vt:variant>
      <vt:variant>
        <vt:lpwstr/>
      </vt:variant>
      <vt:variant>
        <vt:lpwstr>_Toc225845116</vt:lpwstr>
      </vt:variant>
      <vt:variant>
        <vt:i4>1638450</vt:i4>
      </vt:variant>
      <vt:variant>
        <vt:i4>278</vt:i4>
      </vt:variant>
      <vt:variant>
        <vt:i4>0</vt:i4>
      </vt:variant>
      <vt:variant>
        <vt:i4>5</vt:i4>
      </vt:variant>
      <vt:variant>
        <vt:lpwstr/>
      </vt:variant>
      <vt:variant>
        <vt:lpwstr>_Toc225845115</vt:lpwstr>
      </vt:variant>
      <vt:variant>
        <vt:i4>1638450</vt:i4>
      </vt:variant>
      <vt:variant>
        <vt:i4>272</vt:i4>
      </vt:variant>
      <vt:variant>
        <vt:i4>0</vt:i4>
      </vt:variant>
      <vt:variant>
        <vt:i4>5</vt:i4>
      </vt:variant>
      <vt:variant>
        <vt:lpwstr/>
      </vt:variant>
      <vt:variant>
        <vt:lpwstr>_Toc225845114</vt:lpwstr>
      </vt:variant>
      <vt:variant>
        <vt:i4>1638450</vt:i4>
      </vt:variant>
      <vt:variant>
        <vt:i4>266</vt:i4>
      </vt:variant>
      <vt:variant>
        <vt:i4>0</vt:i4>
      </vt:variant>
      <vt:variant>
        <vt:i4>5</vt:i4>
      </vt:variant>
      <vt:variant>
        <vt:lpwstr/>
      </vt:variant>
      <vt:variant>
        <vt:lpwstr>_Toc225845113</vt:lpwstr>
      </vt:variant>
      <vt:variant>
        <vt:i4>1638450</vt:i4>
      </vt:variant>
      <vt:variant>
        <vt:i4>260</vt:i4>
      </vt:variant>
      <vt:variant>
        <vt:i4>0</vt:i4>
      </vt:variant>
      <vt:variant>
        <vt:i4>5</vt:i4>
      </vt:variant>
      <vt:variant>
        <vt:lpwstr/>
      </vt:variant>
      <vt:variant>
        <vt:lpwstr>_Toc225845112</vt:lpwstr>
      </vt:variant>
      <vt:variant>
        <vt:i4>1638450</vt:i4>
      </vt:variant>
      <vt:variant>
        <vt:i4>254</vt:i4>
      </vt:variant>
      <vt:variant>
        <vt:i4>0</vt:i4>
      </vt:variant>
      <vt:variant>
        <vt:i4>5</vt:i4>
      </vt:variant>
      <vt:variant>
        <vt:lpwstr/>
      </vt:variant>
      <vt:variant>
        <vt:lpwstr>_Toc225845111</vt:lpwstr>
      </vt:variant>
      <vt:variant>
        <vt:i4>1638450</vt:i4>
      </vt:variant>
      <vt:variant>
        <vt:i4>248</vt:i4>
      </vt:variant>
      <vt:variant>
        <vt:i4>0</vt:i4>
      </vt:variant>
      <vt:variant>
        <vt:i4>5</vt:i4>
      </vt:variant>
      <vt:variant>
        <vt:lpwstr/>
      </vt:variant>
      <vt:variant>
        <vt:lpwstr>_Toc225845110</vt:lpwstr>
      </vt:variant>
      <vt:variant>
        <vt:i4>1572914</vt:i4>
      </vt:variant>
      <vt:variant>
        <vt:i4>242</vt:i4>
      </vt:variant>
      <vt:variant>
        <vt:i4>0</vt:i4>
      </vt:variant>
      <vt:variant>
        <vt:i4>5</vt:i4>
      </vt:variant>
      <vt:variant>
        <vt:lpwstr/>
      </vt:variant>
      <vt:variant>
        <vt:lpwstr>_Toc225845109</vt:lpwstr>
      </vt:variant>
      <vt:variant>
        <vt:i4>1572914</vt:i4>
      </vt:variant>
      <vt:variant>
        <vt:i4>236</vt:i4>
      </vt:variant>
      <vt:variant>
        <vt:i4>0</vt:i4>
      </vt:variant>
      <vt:variant>
        <vt:i4>5</vt:i4>
      </vt:variant>
      <vt:variant>
        <vt:lpwstr/>
      </vt:variant>
      <vt:variant>
        <vt:lpwstr>_Toc225845108</vt:lpwstr>
      </vt:variant>
      <vt:variant>
        <vt:i4>1572914</vt:i4>
      </vt:variant>
      <vt:variant>
        <vt:i4>230</vt:i4>
      </vt:variant>
      <vt:variant>
        <vt:i4>0</vt:i4>
      </vt:variant>
      <vt:variant>
        <vt:i4>5</vt:i4>
      </vt:variant>
      <vt:variant>
        <vt:lpwstr/>
      </vt:variant>
      <vt:variant>
        <vt:lpwstr>_Toc225845107</vt:lpwstr>
      </vt:variant>
      <vt:variant>
        <vt:i4>1572914</vt:i4>
      </vt:variant>
      <vt:variant>
        <vt:i4>224</vt:i4>
      </vt:variant>
      <vt:variant>
        <vt:i4>0</vt:i4>
      </vt:variant>
      <vt:variant>
        <vt:i4>5</vt:i4>
      </vt:variant>
      <vt:variant>
        <vt:lpwstr/>
      </vt:variant>
      <vt:variant>
        <vt:lpwstr>_Toc225845106</vt:lpwstr>
      </vt:variant>
      <vt:variant>
        <vt:i4>1572914</vt:i4>
      </vt:variant>
      <vt:variant>
        <vt:i4>218</vt:i4>
      </vt:variant>
      <vt:variant>
        <vt:i4>0</vt:i4>
      </vt:variant>
      <vt:variant>
        <vt:i4>5</vt:i4>
      </vt:variant>
      <vt:variant>
        <vt:lpwstr/>
      </vt:variant>
      <vt:variant>
        <vt:lpwstr>_Toc225845105</vt:lpwstr>
      </vt:variant>
      <vt:variant>
        <vt:i4>1572914</vt:i4>
      </vt:variant>
      <vt:variant>
        <vt:i4>212</vt:i4>
      </vt:variant>
      <vt:variant>
        <vt:i4>0</vt:i4>
      </vt:variant>
      <vt:variant>
        <vt:i4>5</vt:i4>
      </vt:variant>
      <vt:variant>
        <vt:lpwstr/>
      </vt:variant>
      <vt:variant>
        <vt:lpwstr>_Toc225845104</vt:lpwstr>
      </vt:variant>
      <vt:variant>
        <vt:i4>1572914</vt:i4>
      </vt:variant>
      <vt:variant>
        <vt:i4>206</vt:i4>
      </vt:variant>
      <vt:variant>
        <vt:i4>0</vt:i4>
      </vt:variant>
      <vt:variant>
        <vt:i4>5</vt:i4>
      </vt:variant>
      <vt:variant>
        <vt:lpwstr/>
      </vt:variant>
      <vt:variant>
        <vt:lpwstr>_Toc225845103</vt:lpwstr>
      </vt:variant>
      <vt:variant>
        <vt:i4>1572914</vt:i4>
      </vt:variant>
      <vt:variant>
        <vt:i4>200</vt:i4>
      </vt:variant>
      <vt:variant>
        <vt:i4>0</vt:i4>
      </vt:variant>
      <vt:variant>
        <vt:i4>5</vt:i4>
      </vt:variant>
      <vt:variant>
        <vt:lpwstr/>
      </vt:variant>
      <vt:variant>
        <vt:lpwstr>_Toc225845102</vt:lpwstr>
      </vt:variant>
      <vt:variant>
        <vt:i4>1572914</vt:i4>
      </vt:variant>
      <vt:variant>
        <vt:i4>194</vt:i4>
      </vt:variant>
      <vt:variant>
        <vt:i4>0</vt:i4>
      </vt:variant>
      <vt:variant>
        <vt:i4>5</vt:i4>
      </vt:variant>
      <vt:variant>
        <vt:lpwstr/>
      </vt:variant>
      <vt:variant>
        <vt:lpwstr>_Toc225845101</vt:lpwstr>
      </vt:variant>
      <vt:variant>
        <vt:i4>1572914</vt:i4>
      </vt:variant>
      <vt:variant>
        <vt:i4>188</vt:i4>
      </vt:variant>
      <vt:variant>
        <vt:i4>0</vt:i4>
      </vt:variant>
      <vt:variant>
        <vt:i4>5</vt:i4>
      </vt:variant>
      <vt:variant>
        <vt:lpwstr/>
      </vt:variant>
      <vt:variant>
        <vt:lpwstr>_Toc225845100</vt:lpwstr>
      </vt:variant>
      <vt:variant>
        <vt:i4>1114163</vt:i4>
      </vt:variant>
      <vt:variant>
        <vt:i4>182</vt:i4>
      </vt:variant>
      <vt:variant>
        <vt:i4>0</vt:i4>
      </vt:variant>
      <vt:variant>
        <vt:i4>5</vt:i4>
      </vt:variant>
      <vt:variant>
        <vt:lpwstr/>
      </vt:variant>
      <vt:variant>
        <vt:lpwstr>_Toc225845099</vt:lpwstr>
      </vt:variant>
      <vt:variant>
        <vt:i4>1114163</vt:i4>
      </vt:variant>
      <vt:variant>
        <vt:i4>176</vt:i4>
      </vt:variant>
      <vt:variant>
        <vt:i4>0</vt:i4>
      </vt:variant>
      <vt:variant>
        <vt:i4>5</vt:i4>
      </vt:variant>
      <vt:variant>
        <vt:lpwstr/>
      </vt:variant>
      <vt:variant>
        <vt:lpwstr>_Toc225845098</vt:lpwstr>
      </vt:variant>
      <vt:variant>
        <vt:i4>1114163</vt:i4>
      </vt:variant>
      <vt:variant>
        <vt:i4>170</vt:i4>
      </vt:variant>
      <vt:variant>
        <vt:i4>0</vt:i4>
      </vt:variant>
      <vt:variant>
        <vt:i4>5</vt:i4>
      </vt:variant>
      <vt:variant>
        <vt:lpwstr/>
      </vt:variant>
      <vt:variant>
        <vt:lpwstr>_Toc225845097</vt:lpwstr>
      </vt:variant>
      <vt:variant>
        <vt:i4>1114163</vt:i4>
      </vt:variant>
      <vt:variant>
        <vt:i4>164</vt:i4>
      </vt:variant>
      <vt:variant>
        <vt:i4>0</vt:i4>
      </vt:variant>
      <vt:variant>
        <vt:i4>5</vt:i4>
      </vt:variant>
      <vt:variant>
        <vt:lpwstr/>
      </vt:variant>
      <vt:variant>
        <vt:lpwstr>_Toc225845096</vt:lpwstr>
      </vt:variant>
      <vt:variant>
        <vt:i4>1114163</vt:i4>
      </vt:variant>
      <vt:variant>
        <vt:i4>158</vt:i4>
      </vt:variant>
      <vt:variant>
        <vt:i4>0</vt:i4>
      </vt:variant>
      <vt:variant>
        <vt:i4>5</vt:i4>
      </vt:variant>
      <vt:variant>
        <vt:lpwstr/>
      </vt:variant>
      <vt:variant>
        <vt:lpwstr>_Toc225845095</vt:lpwstr>
      </vt:variant>
      <vt:variant>
        <vt:i4>1114163</vt:i4>
      </vt:variant>
      <vt:variant>
        <vt:i4>152</vt:i4>
      </vt:variant>
      <vt:variant>
        <vt:i4>0</vt:i4>
      </vt:variant>
      <vt:variant>
        <vt:i4>5</vt:i4>
      </vt:variant>
      <vt:variant>
        <vt:lpwstr/>
      </vt:variant>
      <vt:variant>
        <vt:lpwstr>_Toc225845094</vt:lpwstr>
      </vt:variant>
      <vt:variant>
        <vt:i4>1114163</vt:i4>
      </vt:variant>
      <vt:variant>
        <vt:i4>146</vt:i4>
      </vt:variant>
      <vt:variant>
        <vt:i4>0</vt:i4>
      </vt:variant>
      <vt:variant>
        <vt:i4>5</vt:i4>
      </vt:variant>
      <vt:variant>
        <vt:lpwstr/>
      </vt:variant>
      <vt:variant>
        <vt:lpwstr>_Toc225845093</vt:lpwstr>
      </vt:variant>
      <vt:variant>
        <vt:i4>1114163</vt:i4>
      </vt:variant>
      <vt:variant>
        <vt:i4>140</vt:i4>
      </vt:variant>
      <vt:variant>
        <vt:i4>0</vt:i4>
      </vt:variant>
      <vt:variant>
        <vt:i4>5</vt:i4>
      </vt:variant>
      <vt:variant>
        <vt:lpwstr/>
      </vt:variant>
      <vt:variant>
        <vt:lpwstr>_Toc225845092</vt:lpwstr>
      </vt:variant>
      <vt:variant>
        <vt:i4>1114163</vt:i4>
      </vt:variant>
      <vt:variant>
        <vt:i4>134</vt:i4>
      </vt:variant>
      <vt:variant>
        <vt:i4>0</vt:i4>
      </vt:variant>
      <vt:variant>
        <vt:i4>5</vt:i4>
      </vt:variant>
      <vt:variant>
        <vt:lpwstr/>
      </vt:variant>
      <vt:variant>
        <vt:lpwstr>_Toc225845091</vt:lpwstr>
      </vt:variant>
      <vt:variant>
        <vt:i4>1114163</vt:i4>
      </vt:variant>
      <vt:variant>
        <vt:i4>128</vt:i4>
      </vt:variant>
      <vt:variant>
        <vt:i4>0</vt:i4>
      </vt:variant>
      <vt:variant>
        <vt:i4>5</vt:i4>
      </vt:variant>
      <vt:variant>
        <vt:lpwstr/>
      </vt:variant>
      <vt:variant>
        <vt:lpwstr>_Toc225845090</vt:lpwstr>
      </vt:variant>
      <vt:variant>
        <vt:i4>1048627</vt:i4>
      </vt:variant>
      <vt:variant>
        <vt:i4>122</vt:i4>
      </vt:variant>
      <vt:variant>
        <vt:i4>0</vt:i4>
      </vt:variant>
      <vt:variant>
        <vt:i4>5</vt:i4>
      </vt:variant>
      <vt:variant>
        <vt:lpwstr/>
      </vt:variant>
      <vt:variant>
        <vt:lpwstr>_Toc225845089</vt:lpwstr>
      </vt:variant>
      <vt:variant>
        <vt:i4>1048627</vt:i4>
      </vt:variant>
      <vt:variant>
        <vt:i4>116</vt:i4>
      </vt:variant>
      <vt:variant>
        <vt:i4>0</vt:i4>
      </vt:variant>
      <vt:variant>
        <vt:i4>5</vt:i4>
      </vt:variant>
      <vt:variant>
        <vt:lpwstr/>
      </vt:variant>
      <vt:variant>
        <vt:lpwstr>_Toc225845088</vt:lpwstr>
      </vt:variant>
      <vt:variant>
        <vt:i4>1048627</vt:i4>
      </vt:variant>
      <vt:variant>
        <vt:i4>110</vt:i4>
      </vt:variant>
      <vt:variant>
        <vt:i4>0</vt:i4>
      </vt:variant>
      <vt:variant>
        <vt:i4>5</vt:i4>
      </vt:variant>
      <vt:variant>
        <vt:lpwstr/>
      </vt:variant>
      <vt:variant>
        <vt:lpwstr>_Toc225845087</vt:lpwstr>
      </vt:variant>
      <vt:variant>
        <vt:i4>1048627</vt:i4>
      </vt:variant>
      <vt:variant>
        <vt:i4>104</vt:i4>
      </vt:variant>
      <vt:variant>
        <vt:i4>0</vt:i4>
      </vt:variant>
      <vt:variant>
        <vt:i4>5</vt:i4>
      </vt:variant>
      <vt:variant>
        <vt:lpwstr/>
      </vt:variant>
      <vt:variant>
        <vt:lpwstr>_Toc225845086</vt:lpwstr>
      </vt:variant>
      <vt:variant>
        <vt:i4>1048627</vt:i4>
      </vt:variant>
      <vt:variant>
        <vt:i4>98</vt:i4>
      </vt:variant>
      <vt:variant>
        <vt:i4>0</vt:i4>
      </vt:variant>
      <vt:variant>
        <vt:i4>5</vt:i4>
      </vt:variant>
      <vt:variant>
        <vt:lpwstr/>
      </vt:variant>
      <vt:variant>
        <vt:lpwstr>_Toc225845085</vt:lpwstr>
      </vt:variant>
      <vt:variant>
        <vt:i4>1048627</vt:i4>
      </vt:variant>
      <vt:variant>
        <vt:i4>92</vt:i4>
      </vt:variant>
      <vt:variant>
        <vt:i4>0</vt:i4>
      </vt:variant>
      <vt:variant>
        <vt:i4>5</vt:i4>
      </vt:variant>
      <vt:variant>
        <vt:lpwstr/>
      </vt:variant>
      <vt:variant>
        <vt:lpwstr>_Toc225845084</vt:lpwstr>
      </vt:variant>
      <vt:variant>
        <vt:i4>1048627</vt:i4>
      </vt:variant>
      <vt:variant>
        <vt:i4>86</vt:i4>
      </vt:variant>
      <vt:variant>
        <vt:i4>0</vt:i4>
      </vt:variant>
      <vt:variant>
        <vt:i4>5</vt:i4>
      </vt:variant>
      <vt:variant>
        <vt:lpwstr/>
      </vt:variant>
      <vt:variant>
        <vt:lpwstr>_Toc225845083</vt:lpwstr>
      </vt:variant>
      <vt:variant>
        <vt:i4>1048627</vt:i4>
      </vt:variant>
      <vt:variant>
        <vt:i4>80</vt:i4>
      </vt:variant>
      <vt:variant>
        <vt:i4>0</vt:i4>
      </vt:variant>
      <vt:variant>
        <vt:i4>5</vt:i4>
      </vt:variant>
      <vt:variant>
        <vt:lpwstr/>
      </vt:variant>
      <vt:variant>
        <vt:lpwstr>_Toc225845082</vt:lpwstr>
      </vt:variant>
      <vt:variant>
        <vt:i4>1048627</vt:i4>
      </vt:variant>
      <vt:variant>
        <vt:i4>74</vt:i4>
      </vt:variant>
      <vt:variant>
        <vt:i4>0</vt:i4>
      </vt:variant>
      <vt:variant>
        <vt:i4>5</vt:i4>
      </vt:variant>
      <vt:variant>
        <vt:lpwstr/>
      </vt:variant>
      <vt:variant>
        <vt:lpwstr>_Toc225845081</vt:lpwstr>
      </vt:variant>
      <vt:variant>
        <vt:i4>1048627</vt:i4>
      </vt:variant>
      <vt:variant>
        <vt:i4>68</vt:i4>
      </vt:variant>
      <vt:variant>
        <vt:i4>0</vt:i4>
      </vt:variant>
      <vt:variant>
        <vt:i4>5</vt:i4>
      </vt:variant>
      <vt:variant>
        <vt:lpwstr/>
      </vt:variant>
      <vt:variant>
        <vt:lpwstr>_Toc225845080</vt:lpwstr>
      </vt:variant>
      <vt:variant>
        <vt:i4>2031667</vt:i4>
      </vt:variant>
      <vt:variant>
        <vt:i4>62</vt:i4>
      </vt:variant>
      <vt:variant>
        <vt:i4>0</vt:i4>
      </vt:variant>
      <vt:variant>
        <vt:i4>5</vt:i4>
      </vt:variant>
      <vt:variant>
        <vt:lpwstr/>
      </vt:variant>
      <vt:variant>
        <vt:lpwstr>_Toc225845079</vt:lpwstr>
      </vt:variant>
      <vt:variant>
        <vt:i4>2031667</vt:i4>
      </vt:variant>
      <vt:variant>
        <vt:i4>56</vt:i4>
      </vt:variant>
      <vt:variant>
        <vt:i4>0</vt:i4>
      </vt:variant>
      <vt:variant>
        <vt:i4>5</vt:i4>
      </vt:variant>
      <vt:variant>
        <vt:lpwstr/>
      </vt:variant>
      <vt:variant>
        <vt:lpwstr>_Toc225845078</vt:lpwstr>
      </vt:variant>
      <vt:variant>
        <vt:i4>2031667</vt:i4>
      </vt:variant>
      <vt:variant>
        <vt:i4>50</vt:i4>
      </vt:variant>
      <vt:variant>
        <vt:i4>0</vt:i4>
      </vt:variant>
      <vt:variant>
        <vt:i4>5</vt:i4>
      </vt:variant>
      <vt:variant>
        <vt:lpwstr/>
      </vt:variant>
      <vt:variant>
        <vt:lpwstr>_Toc225845077</vt:lpwstr>
      </vt:variant>
      <vt:variant>
        <vt:i4>2031667</vt:i4>
      </vt:variant>
      <vt:variant>
        <vt:i4>44</vt:i4>
      </vt:variant>
      <vt:variant>
        <vt:i4>0</vt:i4>
      </vt:variant>
      <vt:variant>
        <vt:i4>5</vt:i4>
      </vt:variant>
      <vt:variant>
        <vt:lpwstr/>
      </vt:variant>
      <vt:variant>
        <vt:lpwstr>_Toc225845076</vt:lpwstr>
      </vt:variant>
      <vt:variant>
        <vt:i4>2031667</vt:i4>
      </vt:variant>
      <vt:variant>
        <vt:i4>38</vt:i4>
      </vt:variant>
      <vt:variant>
        <vt:i4>0</vt:i4>
      </vt:variant>
      <vt:variant>
        <vt:i4>5</vt:i4>
      </vt:variant>
      <vt:variant>
        <vt:lpwstr/>
      </vt:variant>
      <vt:variant>
        <vt:lpwstr>_Toc225845075</vt:lpwstr>
      </vt:variant>
      <vt:variant>
        <vt:i4>2031667</vt:i4>
      </vt:variant>
      <vt:variant>
        <vt:i4>32</vt:i4>
      </vt:variant>
      <vt:variant>
        <vt:i4>0</vt:i4>
      </vt:variant>
      <vt:variant>
        <vt:i4>5</vt:i4>
      </vt:variant>
      <vt:variant>
        <vt:lpwstr/>
      </vt:variant>
      <vt:variant>
        <vt:lpwstr>_Toc225845074</vt:lpwstr>
      </vt:variant>
      <vt:variant>
        <vt:i4>2031667</vt:i4>
      </vt:variant>
      <vt:variant>
        <vt:i4>26</vt:i4>
      </vt:variant>
      <vt:variant>
        <vt:i4>0</vt:i4>
      </vt:variant>
      <vt:variant>
        <vt:i4>5</vt:i4>
      </vt:variant>
      <vt:variant>
        <vt:lpwstr/>
      </vt:variant>
      <vt:variant>
        <vt:lpwstr>_Toc225845073</vt:lpwstr>
      </vt:variant>
      <vt:variant>
        <vt:i4>2031667</vt:i4>
      </vt:variant>
      <vt:variant>
        <vt:i4>20</vt:i4>
      </vt:variant>
      <vt:variant>
        <vt:i4>0</vt:i4>
      </vt:variant>
      <vt:variant>
        <vt:i4>5</vt:i4>
      </vt:variant>
      <vt:variant>
        <vt:lpwstr/>
      </vt:variant>
      <vt:variant>
        <vt:lpwstr>_Toc225845072</vt:lpwstr>
      </vt:variant>
      <vt:variant>
        <vt:i4>2031667</vt:i4>
      </vt:variant>
      <vt:variant>
        <vt:i4>14</vt:i4>
      </vt:variant>
      <vt:variant>
        <vt:i4>0</vt:i4>
      </vt:variant>
      <vt:variant>
        <vt:i4>5</vt:i4>
      </vt:variant>
      <vt:variant>
        <vt:lpwstr/>
      </vt:variant>
      <vt:variant>
        <vt:lpwstr>_Toc225845071</vt:lpwstr>
      </vt:variant>
      <vt:variant>
        <vt:i4>2031667</vt:i4>
      </vt:variant>
      <vt:variant>
        <vt:i4>8</vt:i4>
      </vt:variant>
      <vt:variant>
        <vt:i4>0</vt:i4>
      </vt:variant>
      <vt:variant>
        <vt:i4>5</vt:i4>
      </vt:variant>
      <vt:variant>
        <vt:lpwstr/>
      </vt:variant>
      <vt:variant>
        <vt:lpwstr>_Toc225845070</vt:lpwstr>
      </vt:variant>
      <vt:variant>
        <vt:i4>1966131</vt:i4>
      </vt:variant>
      <vt:variant>
        <vt:i4>2</vt:i4>
      </vt:variant>
      <vt:variant>
        <vt:i4>0</vt:i4>
      </vt:variant>
      <vt:variant>
        <vt:i4>5</vt:i4>
      </vt:variant>
      <vt:variant>
        <vt:lpwstr/>
      </vt:variant>
      <vt:variant>
        <vt:lpwstr>_Toc225845069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ABTN Stichting ING CDC Pensioenfonds</dc:title>
  <dc:subject>Onderwerp memo</dc:subject>
  <dc:creator>Idema, S.K.B. (Saskia)</dc:creator>
  <cp:keywords/>
  <cp:lastModifiedBy>Bakker, T.M.D. (Tamara)</cp:lastModifiedBy>
  <cp:revision>13</cp:revision>
  <cp:lastPrinted>2025-01-22T14:46:00Z</cp:lastPrinted>
  <dcterms:created xsi:type="dcterms:W3CDTF">2026-05-12T12:46:00Z</dcterms:created>
  <dcterms:modified xsi:type="dcterms:W3CDTF">2026-06-08T07:53:00Z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0x01010021F9508BF2EC12439E501A868BDB2E1C</vt:lpwstr>
  </property>
  <property fmtid="{D5CDD505-2E9C-101B-9397-08002B2CF9AE}" pid="3" name="Order">
    <vt:r8>11936000</vt:r8>
  </property>
  <property fmtid="{D5CDD505-2E9C-101B-9397-08002B2CF9AE}" pid="4" name="MediaServiceImageTags">
    <vt:lpwstr/>
  </property>
</Properties>
</file>